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B" w:rsidRPr="009A2D22" w:rsidRDefault="00E87B6D" w:rsidP="008C08BB">
      <w:pPr>
        <w:spacing w:after="0"/>
        <w:jc w:val="center"/>
        <w:rPr>
          <w:rFonts w:ascii="Arial" w:hAnsi="Arial" w:cs="Arial"/>
          <w:b/>
          <w:sz w:val="24"/>
          <w:szCs w:val="24"/>
        </w:rPr>
      </w:pPr>
      <w:r>
        <w:rPr>
          <w:rFonts w:ascii="Arial" w:hAnsi="Arial" w:cs="Arial"/>
          <w:b/>
          <w:sz w:val="24"/>
          <w:szCs w:val="24"/>
        </w:rPr>
        <w:t>C</w:t>
      </w:r>
      <w:r w:rsidR="008C08BB" w:rsidRPr="00E01D8D">
        <w:rPr>
          <w:rFonts w:ascii="Arial" w:hAnsi="Arial" w:cs="Arial"/>
          <w:b/>
          <w:sz w:val="24"/>
          <w:szCs w:val="24"/>
        </w:rPr>
        <w:t xml:space="preserve">ahier des charges </w:t>
      </w:r>
      <w:r>
        <w:rPr>
          <w:rFonts w:ascii="Arial" w:hAnsi="Arial" w:cs="Arial"/>
          <w:b/>
          <w:sz w:val="24"/>
          <w:szCs w:val="24"/>
        </w:rPr>
        <w:t>- A</w:t>
      </w:r>
      <w:r w:rsidR="008C08BB" w:rsidRPr="00E01D8D">
        <w:rPr>
          <w:rFonts w:ascii="Arial" w:hAnsi="Arial" w:cs="Arial"/>
          <w:b/>
          <w:sz w:val="24"/>
          <w:szCs w:val="24"/>
        </w:rPr>
        <w:t>ppel à projets</w:t>
      </w:r>
      <w:r w:rsidR="0096671D">
        <w:rPr>
          <w:rFonts w:ascii="Arial" w:hAnsi="Arial" w:cs="Arial"/>
          <w:b/>
          <w:sz w:val="24"/>
          <w:szCs w:val="24"/>
        </w:rPr>
        <w:t xml:space="preserve"> </w:t>
      </w:r>
      <w:r w:rsidR="00DC3DFB">
        <w:rPr>
          <w:rFonts w:ascii="Arial" w:hAnsi="Arial" w:cs="Arial"/>
          <w:b/>
          <w:sz w:val="24"/>
          <w:szCs w:val="24"/>
        </w:rPr>
        <w:t>2017</w:t>
      </w:r>
    </w:p>
    <w:p w:rsidR="008C08BB" w:rsidRPr="00E01D8D" w:rsidRDefault="008C08BB" w:rsidP="008C08BB">
      <w:pPr>
        <w:jc w:val="center"/>
        <w:rPr>
          <w:rFonts w:ascii="Arial" w:hAnsi="Arial" w:cs="Arial"/>
          <w:b/>
          <w:sz w:val="24"/>
          <w:szCs w:val="24"/>
        </w:rPr>
      </w:pPr>
      <w:r w:rsidRPr="00E01D8D">
        <w:rPr>
          <w:rFonts w:ascii="Arial" w:hAnsi="Arial" w:cs="Arial"/>
          <w:b/>
          <w:sz w:val="24"/>
          <w:szCs w:val="24"/>
        </w:rPr>
        <w:t xml:space="preserve">« Prévention pour les personnes </w:t>
      </w:r>
      <w:r w:rsidR="00C7662E" w:rsidRPr="00E01D8D">
        <w:rPr>
          <w:rFonts w:ascii="Arial" w:hAnsi="Arial" w:cs="Arial"/>
          <w:b/>
          <w:sz w:val="24"/>
          <w:szCs w:val="24"/>
        </w:rPr>
        <w:t xml:space="preserve">relevant d’un accueil </w:t>
      </w:r>
      <w:r w:rsidRPr="00E01D8D">
        <w:rPr>
          <w:rFonts w:ascii="Arial" w:hAnsi="Arial" w:cs="Arial"/>
          <w:b/>
          <w:sz w:val="24"/>
          <w:szCs w:val="24"/>
        </w:rPr>
        <w:t>dans les PASS »</w:t>
      </w:r>
    </w:p>
    <w:p w:rsidR="008C08BB" w:rsidRPr="00E01D8D" w:rsidRDefault="008C08BB" w:rsidP="008C08BB">
      <w:pPr>
        <w:jc w:val="both"/>
        <w:rPr>
          <w:rFonts w:ascii="Arial" w:hAnsi="Arial" w:cs="Arial"/>
          <w:sz w:val="20"/>
          <w:szCs w:val="20"/>
        </w:rPr>
      </w:pPr>
    </w:p>
    <w:p w:rsidR="008C08BB" w:rsidRPr="00E01D8D" w:rsidRDefault="00E66C04" w:rsidP="00E66C04">
      <w:pPr>
        <w:pStyle w:val="Default"/>
        <w:jc w:val="both"/>
        <w:rPr>
          <w:sz w:val="20"/>
          <w:szCs w:val="20"/>
        </w:rPr>
      </w:pPr>
      <w:r w:rsidRPr="00E01D8D">
        <w:rPr>
          <w:sz w:val="20"/>
          <w:szCs w:val="20"/>
        </w:rPr>
        <w:t xml:space="preserve">Selon les termes de la circulaire DGOS du 18 juin 2013, les </w:t>
      </w:r>
      <w:r w:rsidR="00F25909">
        <w:rPr>
          <w:sz w:val="20"/>
          <w:szCs w:val="20"/>
        </w:rPr>
        <w:t>Permanences d’accès aux soins de santé (</w:t>
      </w:r>
      <w:r w:rsidRPr="00E01D8D">
        <w:rPr>
          <w:sz w:val="20"/>
          <w:szCs w:val="20"/>
        </w:rPr>
        <w:t>PASS</w:t>
      </w:r>
      <w:r w:rsidR="00F25909">
        <w:rPr>
          <w:sz w:val="20"/>
          <w:szCs w:val="20"/>
        </w:rPr>
        <w:t>)</w:t>
      </w:r>
      <w:r w:rsidRPr="00E01D8D">
        <w:rPr>
          <w:sz w:val="20"/>
          <w:szCs w:val="20"/>
        </w:rPr>
        <w:t xml:space="preserve"> constituent « </w:t>
      </w:r>
      <w:r w:rsidR="008C08BB" w:rsidRPr="00E01D8D">
        <w:rPr>
          <w:sz w:val="20"/>
          <w:szCs w:val="20"/>
        </w:rPr>
        <w:t xml:space="preserve">un dispositif créé par l’article L6112.6 du code de santé publique adapté aux personnes en situation de précarité, qui vise à leur faciliter l’accès au système de santé et à les aider dans les démarches nécessaires à la reconnaissance de leurs droits. Une PASS doit : </w:t>
      </w:r>
    </w:p>
    <w:p w:rsidR="008C08BB" w:rsidRPr="00E01D8D" w:rsidRDefault="008C08BB" w:rsidP="00E66C04">
      <w:pPr>
        <w:pStyle w:val="Default"/>
        <w:spacing w:after="14"/>
        <w:jc w:val="both"/>
        <w:rPr>
          <w:sz w:val="20"/>
          <w:szCs w:val="20"/>
        </w:rPr>
      </w:pPr>
      <w:r w:rsidRPr="00E01D8D">
        <w:rPr>
          <w:sz w:val="20"/>
          <w:szCs w:val="20"/>
        </w:rPr>
        <w:t xml:space="preserve">- offrir un accès aux soins et un accompagnement soignant et social aux patients dans la perspective d’un retour à l’offre de soins de droit commun. </w:t>
      </w:r>
      <w:r w:rsidR="00E66C04" w:rsidRPr="00E01D8D">
        <w:rPr>
          <w:sz w:val="20"/>
          <w:szCs w:val="20"/>
        </w:rPr>
        <w:t>[…]</w:t>
      </w:r>
      <w:r w:rsidRPr="00E01D8D">
        <w:rPr>
          <w:sz w:val="20"/>
          <w:szCs w:val="20"/>
        </w:rPr>
        <w:t xml:space="preserve"> </w:t>
      </w:r>
    </w:p>
    <w:p w:rsidR="008C08BB" w:rsidRPr="00E01D8D" w:rsidRDefault="008C08BB" w:rsidP="00870D7E">
      <w:pPr>
        <w:pStyle w:val="Default"/>
        <w:spacing w:after="60"/>
        <w:jc w:val="both"/>
        <w:rPr>
          <w:sz w:val="20"/>
          <w:szCs w:val="20"/>
        </w:rPr>
      </w:pPr>
      <w:r w:rsidRPr="00E01D8D">
        <w:rPr>
          <w:sz w:val="20"/>
          <w:szCs w:val="20"/>
        </w:rPr>
        <w:t>- agir à l’intérieur de l’établissement et à l’extérieur de celui-ci pour faciliter le repérage et la prise en charge de ces patients et construire un par</w:t>
      </w:r>
      <w:r w:rsidR="00E66C04" w:rsidRPr="00E01D8D">
        <w:rPr>
          <w:sz w:val="20"/>
          <w:szCs w:val="20"/>
        </w:rPr>
        <w:t>tenariat institu</w:t>
      </w:r>
      <w:bookmarkStart w:id="0" w:name="_GoBack"/>
      <w:bookmarkEnd w:id="0"/>
      <w:r w:rsidR="00E66C04" w:rsidRPr="00E01D8D">
        <w:rPr>
          <w:sz w:val="20"/>
          <w:szCs w:val="20"/>
        </w:rPr>
        <w:t>tionnel élargi. »</w:t>
      </w:r>
    </w:p>
    <w:p w:rsidR="00E66C04" w:rsidRPr="00E01D8D" w:rsidRDefault="00E66C04" w:rsidP="00E66C04">
      <w:pPr>
        <w:pStyle w:val="Default"/>
        <w:jc w:val="both"/>
        <w:rPr>
          <w:sz w:val="20"/>
          <w:szCs w:val="20"/>
        </w:rPr>
      </w:pPr>
      <w:r w:rsidRPr="00E01D8D">
        <w:rPr>
          <w:sz w:val="20"/>
          <w:szCs w:val="20"/>
        </w:rPr>
        <w:t xml:space="preserve">En ce sens les PASS ont un rôle préventif pour, grâce à une réinscription </w:t>
      </w:r>
      <w:r w:rsidR="003D1631">
        <w:rPr>
          <w:sz w:val="20"/>
          <w:szCs w:val="20"/>
        </w:rPr>
        <w:t xml:space="preserve">si possible </w:t>
      </w:r>
      <w:r w:rsidRPr="00E01D8D">
        <w:rPr>
          <w:sz w:val="20"/>
          <w:szCs w:val="20"/>
        </w:rPr>
        <w:t>rapide dans un parcours de soins, éviter un recours trop tardif aux soins, éventuellement dans un contexte d’urgence.</w:t>
      </w:r>
    </w:p>
    <w:p w:rsidR="00E66C04" w:rsidRPr="00E01D8D" w:rsidRDefault="00E66C04" w:rsidP="00E66C04">
      <w:pPr>
        <w:pStyle w:val="Default"/>
        <w:jc w:val="both"/>
        <w:rPr>
          <w:sz w:val="20"/>
          <w:szCs w:val="20"/>
        </w:rPr>
      </w:pPr>
      <w:r w:rsidRPr="00E01D8D">
        <w:rPr>
          <w:sz w:val="20"/>
          <w:szCs w:val="20"/>
        </w:rPr>
        <w:t>Cette dimension préventive est particulièrement prégnante dans certains domaines :</w:t>
      </w:r>
    </w:p>
    <w:p w:rsidR="00E66C04" w:rsidRDefault="00E66C04" w:rsidP="00CD025F">
      <w:pPr>
        <w:pStyle w:val="Paragraphedeliste"/>
        <w:numPr>
          <w:ilvl w:val="0"/>
          <w:numId w:val="1"/>
        </w:numPr>
        <w:autoSpaceDE w:val="0"/>
        <w:autoSpaceDN w:val="0"/>
        <w:adjustRightInd w:val="0"/>
        <w:spacing w:after="60" w:line="240" w:lineRule="auto"/>
        <w:ind w:left="714" w:hanging="357"/>
        <w:jc w:val="both"/>
        <w:rPr>
          <w:rFonts w:ascii="Arial" w:hAnsi="Arial" w:cs="Arial"/>
          <w:color w:val="000000"/>
          <w:sz w:val="20"/>
          <w:szCs w:val="20"/>
        </w:rPr>
      </w:pPr>
      <w:r w:rsidRPr="00EE685D">
        <w:rPr>
          <w:rFonts w:ascii="Arial" w:hAnsi="Arial" w:cs="Arial"/>
          <w:b/>
          <w:color w:val="000000"/>
          <w:sz w:val="20"/>
          <w:szCs w:val="20"/>
        </w:rPr>
        <w:t>la prise en c</w:t>
      </w:r>
      <w:r w:rsidR="00971A89" w:rsidRPr="00EE685D">
        <w:rPr>
          <w:rFonts w:ascii="Arial" w:hAnsi="Arial" w:cs="Arial"/>
          <w:b/>
          <w:color w:val="000000"/>
          <w:sz w:val="20"/>
          <w:szCs w:val="20"/>
        </w:rPr>
        <w:t>ompte des soins bucco-dentaires</w:t>
      </w:r>
      <w:r w:rsidR="00971A89" w:rsidRPr="006B3B3E">
        <w:rPr>
          <w:rFonts w:ascii="Arial" w:hAnsi="Arial" w:cs="Arial"/>
          <w:color w:val="000000"/>
          <w:sz w:val="20"/>
          <w:szCs w:val="20"/>
        </w:rPr>
        <w:t xml:space="preserve"> : </w:t>
      </w:r>
      <w:r w:rsidR="006B3B3E" w:rsidRPr="006B3B3E">
        <w:rPr>
          <w:rFonts w:ascii="Arial" w:hAnsi="Arial" w:cs="Arial"/>
          <w:color w:val="000000"/>
          <w:sz w:val="20"/>
          <w:szCs w:val="20"/>
        </w:rPr>
        <w:t>l’</w:t>
      </w:r>
      <w:r w:rsidR="00971A89" w:rsidRPr="006B3B3E">
        <w:rPr>
          <w:rFonts w:ascii="Arial" w:hAnsi="Arial" w:cs="Arial"/>
          <w:color w:val="000000"/>
          <w:sz w:val="20"/>
          <w:szCs w:val="20"/>
        </w:rPr>
        <w:t>étude TREPSAM</w:t>
      </w:r>
      <w:r w:rsidR="00EE685D">
        <w:rPr>
          <w:rStyle w:val="Appelnotedebasdep"/>
          <w:rFonts w:ascii="Arial" w:hAnsi="Arial" w:cs="Arial"/>
          <w:color w:val="000000"/>
          <w:sz w:val="20"/>
          <w:szCs w:val="20"/>
        </w:rPr>
        <w:footnoteReference w:id="1"/>
      </w:r>
      <w:r w:rsidR="00EE685D">
        <w:rPr>
          <w:rFonts w:ascii="Arial" w:hAnsi="Arial" w:cs="Arial"/>
          <w:color w:val="000000"/>
          <w:sz w:val="20"/>
          <w:szCs w:val="20"/>
        </w:rPr>
        <w:t>.</w:t>
      </w:r>
      <w:r w:rsidR="00971A89" w:rsidRPr="006B3B3E">
        <w:rPr>
          <w:rFonts w:ascii="Arial" w:hAnsi="Arial" w:cs="Arial"/>
          <w:color w:val="000000"/>
          <w:sz w:val="20"/>
          <w:szCs w:val="20"/>
        </w:rPr>
        <w:t xml:space="preserve"> </w:t>
      </w:r>
      <w:r w:rsidR="006B3B3E" w:rsidRPr="006B3B3E">
        <w:rPr>
          <w:rFonts w:ascii="Arial" w:hAnsi="Arial" w:cs="Arial"/>
          <w:color w:val="000000"/>
          <w:sz w:val="20"/>
          <w:szCs w:val="20"/>
        </w:rPr>
        <w:t xml:space="preserve">montre ainsi que </w:t>
      </w:r>
      <w:r w:rsidR="006B3B3E">
        <w:rPr>
          <w:rFonts w:ascii="Arial" w:hAnsi="Arial" w:cs="Arial"/>
          <w:color w:val="000000"/>
          <w:sz w:val="20"/>
          <w:szCs w:val="20"/>
        </w:rPr>
        <w:t>d</w:t>
      </w:r>
      <w:r w:rsidR="006B3B3E" w:rsidRPr="006B3B3E">
        <w:rPr>
          <w:rFonts w:ascii="Arial" w:hAnsi="Arial" w:cs="Arial"/>
          <w:color w:val="000000"/>
          <w:sz w:val="20"/>
          <w:szCs w:val="20"/>
        </w:rPr>
        <w:t xml:space="preserve">eux éléments semblent guider la quête de soins dentaires : la douleur et </w:t>
      </w:r>
      <w:r w:rsidR="006B3B3E">
        <w:rPr>
          <w:rFonts w:ascii="Arial" w:hAnsi="Arial" w:cs="Arial"/>
          <w:color w:val="000000"/>
          <w:sz w:val="20"/>
          <w:szCs w:val="20"/>
        </w:rPr>
        <w:t>la</w:t>
      </w:r>
      <w:r w:rsidR="006B3B3E" w:rsidRPr="006B3B3E">
        <w:rPr>
          <w:rFonts w:ascii="Arial" w:hAnsi="Arial" w:cs="Arial"/>
          <w:color w:val="000000"/>
          <w:sz w:val="20"/>
          <w:szCs w:val="20"/>
        </w:rPr>
        <w:t xml:space="preserve"> pression sociale</w:t>
      </w:r>
      <w:r w:rsidR="00EE685D">
        <w:rPr>
          <w:rStyle w:val="Appelnotedebasdep"/>
          <w:rFonts w:ascii="Arial" w:hAnsi="Arial" w:cs="Arial"/>
          <w:color w:val="000000"/>
          <w:sz w:val="20"/>
          <w:szCs w:val="20"/>
        </w:rPr>
        <w:footnoteReference w:id="2"/>
      </w:r>
      <w:r w:rsidR="006B3B3E">
        <w:rPr>
          <w:rFonts w:ascii="Arial" w:hAnsi="Arial" w:cs="Arial"/>
          <w:color w:val="000000"/>
          <w:sz w:val="20"/>
          <w:szCs w:val="20"/>
        </w:rPr>
        <w:t xml:space="preserve"> « </w:t>
      </w:r>
      <w:r w:rsidR="006B3B3E" w:rsidRPr="006B3B3E">
        <w:rPr>
          <w:rFonts w:ascii="Arial" w:hAnsi="Arial" w:cs="Arial"/>
          <w:i/>
          <w:color w:val="000000"/>
          <w:sz w:val="20"/>
          <w:szCs w:val="20"/>
        </w:rPr>
        <w:t>Pour les problèmes de dents se cumulent la faiblesse des soins quotidiens, la très faible prise en charge des soins de réparation, entraînant bien souvent la tardiveté des recours aux soins qui se font alors dans l’urgence.</w:t>
      </w:r>
      <w:r w:rsidR="006B3B3E">
        <w:rPr>
          <w:rFonts w:ascii="Arial" w:hAnsi="Arial" w:cs="Arial"/>
          <w:color w:val="000000"/>
          <w:sz w:val="20"/>
          <w:szCs w:val="20"/>
        </w:rPr>
        <w:t> »</w:t>
      </w:r>
    </w:p>
    <w:p w:rsidR="00E66C04" w:rsidRDefault="001844C4" w:rsidP="00294837">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294837">
        <w:rPr>
          <w:rFonts w:ascii="Arial" w:hAnsi="Arial" w:cs="Arial"/>
          <w:b/>
          <w:sz w:val="20"/>
          <w:szCs w:val="20"/>
        </w:rPr>
        <w:t>le recours aux soins gynécologiques</w:t>
      </w:r>
      <w:r w:rsidR="001C5EAA" w:rsidRPr="00294837">
        <w:rPr>
          <w:rFonts w:ascii="Arial" w:hAnsi="Arial" w:cs="Arial"/>
          <w:sz w:val="20"/>
          <w:szCs w:val="20"/>
        </w:rPr>
        <w:t> : une étude</w:t>
      </w:r>
      <w:r w:rsidR="001C5EAA" w:rsidRPr="00294837">
        <w:rPr>
          <w:rStyle w:val="Appelnotedebasdep"/>
          <w:rFonts w:ascii="Arial" w:hAnsi="Arial" w:cs="Arial"/>
          <w:sz w:val="20"/>
          <w:szCs w:val="20"/>
        </w:rPr>
        <w:footnoteReference w:id="3"/>
      </w:r>
      <w:r w:rsidR="001C5EAA" w:rsidRPr="00294837">
        <w:rPr>
          <w:rFonts w:ascii="Arial" w:hAnsi="Arial" w:cs="Arial"/>
          <w:sz w:val="20"/>
          <w:szCs w:val="20"/>
        </w:rPr>
        <w:t xml:space="preserve"> effectuée en 2005 a montré que « </w:t>
      </w:r>
      <w:r w:rsidR="001C5EAA" w:rsidRPr="00294837">
        <w:rPr>
          <w:rFonts w:ascii="Arial" w:hAnsi="Arial" w:cs="Arial"/>
          <w:i/>
          <w:sz w:val="20"/>
          <w:szCs w:val="20"/>
        </w:rPr>
        <w:t>les femmes sans domicile sont confrontées à de nombreuses difficultés du fait de leurs conditions de vie et de leurs trajectoires pour continuer d’assumer leur identité de femme</w:t>
      </w:r>
      <w:r w:rsidR="001C5EAA" w:rsidRPr="00294837">
        <w:rPr>
          <w:rFonts w:ascii="Arial" w:hAnsi="Arial" w:cs="Arial"/>
          <w:sz w:val="20"/>
          <w:szCs w:val="20"/>
        </w:rPr>
        <w:t xml:space="preserve">. </w:t>
      </w:r>
      <w:proofErr w:type="gramStart"/>
      <w:r w:rsidR="001C5EAA" w:rsidRPr="00294837">
        <w:rPr>
          <w:rFonts w:ascii="Arial" w:hAnsi="Arial" w:cs="Arial"/>
          <w:sz w:val="20"/>
          <w:szCs w:val="20"/>
        </w:rPr>
        <w:t>…[</w:t>
      </w:r>
      <w:proofErr w:type="gramEnd"/>
      <w:r w:rsidR="001C5EAA" w:rsidRPr="00294837">
        <w:rPr>
          <w:rFonts w:ascii="Arial" w:hAnsi="Arial" w:cs="Arial"/>
          <w:sz w:val="20"/>
          <w:szCs w:val="20"/>
        </w:rPr>
        <w:t xml:space="preserve">dans] </w:t>
      </w:r>
      <w:r w:rsidR="001C5EAA" w:rsidRPr="00294837">
        <w:rPr>
          <w:rFonts w:ascii="Arial" w:hAnsi="Arial" w:cs="Arial"/>
          <w:i/>
          <w:sz w:val="20"/>
          <w:szCs w:val="20"/>
        </w:rPr>
        <w:t>un quotidien rempli d’incertitudes dans lequel elles doivent gérer de multiples risques (violences physiques, sexuelles, risques sanitaires</w:t>
      </w:r>
      <w:r w:rsidR="001C5EAA" w:rsidRPr="00294837">
        <w:rPr>
          <w:rFonts w:ascii="Arial" w:hAnsi="Arial" w:cs="Arial"/>
          <w:sz w:val="20"/>
          <w:szCs w:val="20"/>
        </w:rPr>
        <w:t>…) ». Elle recommande notamment de multiplier les lieux, fréquentés par ces femmes, où des consultations gynécologiques pourraient être proposées et où ces femmes pourraient être « fidélisées ».</w:t>
      </w:r>
      <w:r w:rsidR="00294837" w:rsidRPr="00294837">
        <w:rPr>
          <w:rFonts w:ascii="Arial" w:hAnsi="Arial" w:cs="Arial"/>
          <w:sz w:val="20"/>
          <w:szCs w:val="20"/>
        </w:rPr>
        <w:t xml:space="preserve"> Les femmes migrantes, partic</w:t>
      </w:r>
      <w:r w:rsidR="00294837">
        <w:rPr>
          <w:rFonts w:ascii="Arial" w:hAnsi="Arial" w:cs="Arial"/>
          <w:sz w:val="20"/>
          <w:szCs w:val="20"/>
        </w:rPr>
        <w:t xml:space="preserve">ulièrement d’origine africaine, […] </w:t>
      </w:r>
      <w:r w:rsidR="00294837" w:rsidRPr="00294837">
        <w:rPr>
          <w:rFonts w:ascii="Arial" w:hAnsi="Arial" w:cs="Arial"/>
          <w:sz w:val="20"/>
          <w:szCs w:val="20"/>
        </w:rPr>
        <w:t>bénéficient également moins souvent du dépistage du cancer du col utérin et du sein</w:t>
      </w:r>
      <w:r w:rsidR="00294837">
        <w:rPr>
          <w:rStyle w:val="Appelnotedebasdep"/>
          <w:rFonts w:ascii="Arial" w:hAnsi="Arial" w:cs="Arial"/>
          <w:sz w:val="20"/>
          <w:szCs w:val="20"/>
        </w:rPr>
        <w:footnoteReference w:id="4"/>
      </w:r>
      <w:r w:rsidR="00294837" w:rsidRPr="00294837">
        <w:rPr>
          <w:rFonts w:ascii="Arial" w:hAnsi="Arial" w:cs="Arial"/>
          <w:sz w:val="20"/>
          <w:szCs w:val="20"/>
        </w:rPr>
        <w:t>.</w:t>
      </w:r>
    </w:p>
    <w:p w:rsidR="009B3CAB" w:rsidRPr="009B3CAB" w:rsidRDefault="00935092" w:rsidP="009B3CAB">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3D1631">
        <w:rPr>
          <w:rFonts w:ascii="Arial" w:hAnsi="Arial" w:cs="Arial"/>
          <w:sz w:val="20"/>
          <w:szCs w:val="20"/>
        </w:rPr>
        <w:t>e r</w:t>
      </w:r>
      <w:r w:rsidR="009B3CAB">
        <w:rPr>
          <w:rFonts w:ascii="Arial" w:hAnsi="Arial" w:cs="Arial"/>
          <w:sz w:val="20"/>
          <w:szCs w:val="20"/>
        </w:rPr>
        <w:t>enforcement d</w:t>
      </w:r>
      <w:r w:rsidR="009B3CAB" w:rsidRPr="009B3CAB">
        <w:rPr>
          <w:rFonts w:ascii="Arial" w:hAnsi="Arial" w:cs="Arial"/>
          <w:sz w:val="20"/>
          <w:szCs w:val="20"/>
        </w:rPr>
        <w:t xml:space="preserve">es stratégies de </w:t>
      </w:r>
      <w:r w:rsidR="009B3CAB" w:rsidRPr="009B3CAB">
        <w:rPr>
          <w:rFonts w:ascii="Arial" w:hAnsi="Arial" w:cs="Arial"/>
          <w:b/>
          <w:sz w:val="20"/>
          <w:szCs w:val="20"/>
        </w:rPr>
        <w:t xml:space="preserve">dépistage </w:t>
      </w:r>
      <w:r w:rsidR="009B52E0">
        <w:rPr>
          <w:rFonts w:ascii="Arial" w:hAnsi="Arial" w:cs="Arial"/>
          <w:b/>
          <w:sz w:val="20"/>
          <w:szCs w:val="20"/>
        </w:rPr>
        <w:t>et de prévention de l’infection à</w:t>
      </w:r>
      <w:r w:rsidR="009B3CAB" w:rsidRPr="009B3CAB">
        <w:rPr>
          <w:rFonts w:ascii="Arial" w:hAnsi="Arial" w:cs="Arial"/>
          <w:b/>
          <w:sz w:val="20"/>
          <w:szCs w:val="20"/>
        </w:rPr>
        <w:t xml:space="preserve"> VIH et autres IST, des hépatites B et </w:t>
      </w:r>
      <w:r w:rsidR="009B3CAB" w:rsidRPr="00A46454">
        <w:rPr>
          <w:rFonts w:ascii="Arial" w:hAnsi="Arial" w:cs="Arial"/>
          <w:b/>
          <w:sz w:val="20"/>
          <w:szCs w:val="20"/>
        </w:rPr>
        <w:t>C et de la tuberculose</w:t>
      </w:r>
      <w:r w:rsidR="009B3CAB" w:rsidRPr="009B3CAB">
        <w:rPr>
          <w:rFonts w:ascii="Arial" w:hAnsi="Arial" w:cs="Arial"/>
          <w:sz w:val="20"/>
          <w:szCs w:val="20"/>
        </w:rPr>
        <w:t xml:space="preserve"> dans la population migrante. De tels programmes ont pour effet de faciliter l’accès aux soins et donc de permettre une prise en ch</w:t>
      </w:r>
      <w:r w:rsidR="00A46454">
        <w:rPr>
          <w:rFonts w:ascii="Arial" w:hAnsi="Arial" w:cs="Arial"/>
          <w:sz w:val="20"/>
          <w:szCs w:val="20"/>
        </w:rPr>
        <w:t>arge précoce, un suivi régulier</w:t>
      </w:r>
      <w:r w:rsidR="009B3CAB" w:rsidRPr="009B3CAB">
        <w:rPr>
          <w:rFonts w:ascii="Arial" w:hAnsi="Arial" w:cs="Arial"/>
          <w:sz w:val="20"/>
          <w:szCs w:val="20"/>
        </w:rPr>
        <w:t xml:space="preserve"> et de limiter les risques de transmission.</w:t>
      </w:r>
    </w:p>
    <w:p w:rsidR="009B6312" w:rsidRDefault="00935092" w:rsidP="009B6312">
      <w:pPr>
        <w:pStyle w:val="Paragraphedeliste"/>
        <w:numPr>
          <w:ilvl w:val="0"/>
          <w:numId w:val="1"/>
        </w:numPr>
        <w:autoSpaceDE w:val="0"/>
        <w:autoSpaceDN w:val="0"/>
        <w:adjustRightInd w:val="0"/>
        <w:spacing w:after="0" w:line="240" w:lineRule="auto"/>
        <w:ind w:left="714" w:hanging="357"/>
        <w:jc w:val="both"/>
        <w:rPr>
          <w:rFonts w:ascii="Arial" w:hAnsi="Arial" w:cs="Arial"/>
          <w:sz w:val="20"/>
          <w:szCs w:val="20"/>
        </w:rPr>
      </w:pPr>
      <w:r w:rsidRPr="009B6312">
        <w:rPr>
          <w:rFonts w:ascii="Arial" w:hAnsi="Arial" w:cs="Arial"/>
          <w:b/>
          <w:sz w:val="20"/>
          <w:szCs w:val="20"/>
        </w:rPr>
        <w:t>l</w:t>
      </w:r>
      <w:r w:rsidR="003D1631" w:rsidRPr="009B6312">
        <w:rPr>
          <w:rFonts w:ascii="Arial" w:hAnsi="Arial" w:cs="Arial"/>
          <w:b/>
          <w:sz w:val="20"/>
          <w:szCs w:val="20"/>
        </w:rPr>
        <w:t xml:space="preserve">a </w:t>
      </w:r>
      <w:r w:rsidR="00870D7E" w:rsidRPr="009B6312">
        <w:rPr>
          <w:rFonts w:ascii="Arial" w:hAnsi="Arial" w:cs="Arial"/>
          <w:b/>
          <w:sz w:val="20"/>
          <w:szCs w:val="20"/>
        </w:rPr>
        <w:t xml:space="preserve">formation à l’accueil </w:t>
      </w:r>
      <w:r w:rsidR="008835AA" w:rsidRPr="009B6312">
        <w:rPr>
          <w:rFonts w:ascii="Arial" w:hAnsi="Arial" w:cs="Arial"/>
          <w:b/>
          <w:sz w:val="20"/>
          <w:szCs w:val="20"/>
        </w:rPr>
        <w:t xml:space="preserve">et à l’orientation </w:t>
      </w:r>
      <w:r w:rsidR="00870D7E" w:rsidRPr="009B6312">
        <w:rPr>
          <w:rFonts w:ascii="Arial" w:hAnsi="Arial" w:cs="Arial"/>
          <w:b/>
          <w:sz w:val="20"/>
          <w:szCs w:val="20"/>
        </w:rPr>
        <w:t>des personnes les plus démunies</w:t>
      </w:r>
      <w:r w:rsidR="009B3CAB" w:rsidRPr="009B6312">
        <w:rPr>
          <w:rFonts w:ascii="Arial" w:hAnsi="Arial" w:cs="Arial"/>
          <w:b/>
          <w:sz w:val="20"/>
          <w:szCs w:val="20"/>
        </w:rPr>
        <w:t xml:space="preserve"> pour les acteurs extrahospitaliers</w:t>
      </w:r>
      <w:r w:rsidR="008835AA" w:rsidRPr="009B6312">
        <w:rPr>
          <w:rFonts w:ascii="Arial" w:hAnsi="Arial" w:cs="Arial"/>
          <w:sz w:val="20"/>
          <w:szCs w:val="20"/>
        </w:rPr>
        <w:t>.</w:t>
      </w:r>
      <w:r w:rsidR="009B6312" w:rsidRPr="009B6312">
        <w:rPr>
          <w:rFonts w:ascii="Arial" w:hAnsi="Arial" w:cs="Arial"/>
          <w:sz w:val="20"/>
          <w:szCs w:val="20"/>
        </w:rPr>
        <w:t xml:space="preserve"> </w:t>
      </w:r>
      <w:r w:rsidR="009B6312">
        <w:rPr>
          <w:rFonts w:ascii="Arial" w:hAnsi="Arial" w:cs="Arial"/>
          <w:sz w:val="20"/>
          <w:szCs w:val="20"/>
        </w:rPr>
        <w:t>Le premier contact avec une structure sociale ou de soins pour les personnes en grande précarité est un moment fondamental « </w:t>
      </w:r>
      <w:r w:rsidR="009B6312" w:rsidRPr="009B6312">
        <w:rPr>
          <w:rFonts w:ascii="Arial" w:hAnsi="Arial" w:cs="Arial"/>
          <w:i/>
          <w:sz w:val="20"/>
          <w:szCs w:val="20"/>
        </w:rPr>
        <w:t>Lors du premier recours les professionnels sollicités ne peuvent rien faire de médical, mais permettent de fluidifier les recours en orientant la personne au bon endroit. Ils comblent, de cette manière, le manque qui souvent caractérise la connaissance que les individus ont du système. Connaissance qui, nous le verrons à plusieurs reprises, est fondamentale dans l'accès et la structuration d'un parcours de soin. Nous pensons que la potentialisation et l’institutionnalisation de cet «outil» permettrait aussi de diminuer les détournements de services et donc rendre ceux</w:t>
      </w:r>
      <w:r w:rsidR="009B6312" w:rsidRPr="009B6312">
        <w:rPr>
          <w:rFonts w:ascii="Calibri" w:hAnsi="Calibri" w:cs="Arial"/>
          <w:i/>
          <w:sz w:val="20"/>
          <w:szCs w:val="20"/>
        </w:rPr>
        <w:t>‐</w:t>
      </w:r>
      <w:r w:rsidR="009B6312" w:rsidRPr="009B6312">
        <w:rPr>
          <w:rFonts w:ascii="Arial" w:hAnsi="Arial" w:cs="Arial"/>
          <w:i/>
          <w:sz w:val="20"/>
          <w:szCs w:val="20"/>
        </w:rPr>
        <w:t>ci moins débordés, notamment en ce qui concerne les recours aux urgences.</w:t>
      </w:r>
      <w:r w:rsidR="009B6312">
        <w:rPr>
          <w:rFonts w:ascii="Arial" w:hAnsi="Arial" w:cs="Arial"/>
          <w:sz w:val="20"/>
          <w:szCs w:val="20"/>
        </w:rPr>
        <w:t> »</w:t>
      </w:r>
      <w:r w:rsidR="00453C2D">
        <w:rPr>
          <w:rStyle w:val="Appelnotedebasdep"/>
          <w:rFonts w:ascii="Arial" w:hAnsi="Arial" w:cs="Arial"/>
          <w:sz w:val="20"/>
          <w:szCs w:val="20"/>
        </w:rPr>
        <w:footnoteReference w:id="5"/>
      </w:r>
    </w:p>
    <w:p w:rsidR="00765269" w:rsidRPr="00D149AB" w:rsidRDefault="00765269" w:rsidP="009B6312">
      <w:pPr>
        <w:pStyle w:val="Paragraphedeliste"/>
        <w:numPr>
          <w:ilvl w:val="0"/>
          <w:numId w:val="1"/>
        </w:numPr>
        <w:autoSpaceDE w:val="0"/>
        <w:autoSpaceDN w:val="0"/>
        <w:adjustRightInd w:val="0"/>
        <w:spacing w:after="0" w:line="240" w:lineRule="auto"/>
        <w:ind w:left="714" w:hanging="357"/>
        <w:jc w:val="both"/>
        <w:rPr>
          <w:rFonts w:ascii="Arial" w:hAnsi="Arial" w:cs="Arial"/>
          <w:sz w:val="20"/>
          <w:szCs w:val="20"/>
        </w:rPr>
      </w:pPr>
      <w:r w:rsidRPr="00D149AB">
        <w:rPr>
          <w:rFonts w:ascii="Arial" w:hAnsi="Arial" w:cs="Arial"/>
          <w:b/>
          <w:sz w:val="20"/>
          <w:szCs w:val="20"/>
        </w:rPr>
        <w:lastRenderedPageBreak/>
        <w:t xml:space="preserve">la contribution à la préparation de la sortie </w:t>
      </w:r>
      <w:r w:rsidR="00D149AB">
        <w:rPr>
          <w:rFonts w:ascii="Arial" w:hAnsi="Arial" w:cs="Arial"/>
          <w:b/>
          <w:sz w:val="20"/>
          <w:szCs w:val="20"/>
        </w:rPr>
        <w:t>à l’issue de soins à l’hôpital</w:t>
      </w:r>
      <w:r w:rsidRPr="00D149AB">
        <w:rPr>
          <w:rFonts w:ascii="Arial" w:hAnsi="Arial" w:cs="Arial"/>
          <w:b/>
          <w:sz w:val="20"/>
          <w:szCs w:val="20"/>
        </w:rPr>
        <w:t xml:space="preserve"> des personnes en situation très précaire</w:t>
      </w:r>
      <w:r w:rsidRPr="00D149AB">
        <w:rPr>
          <w:rFonts w:ascii="Arial" w:hAnsi="Arial" w:cs="Arial"/>
          <w:sz w:val="20"/>
          <w:szCs w:val="20"/>
        </w:rPr>
        <w:t>.</w:t>
      </w:r>
    </w:p>
    <w:p w:rsidR="00765269" w:rsidRPr="009B6312" w:rsidRDefault="00765269" w:rsidP="00765269">
      <w:pPr>
        <w:pStyle w:val="Paragraphedeliste"/>
        <w:autoSpaceDE w:val="0"/>
        <w:autoSpaceDN w:val="0"/>
        <w:adjustRightInd w:val="0"/>
        <w:spacing w:after="0" w:line="240" w:lineRule="auto"/>
        <w:ind w:left="714"/>
        <w:jc w:val="both"/>
        <w:rPr>
          <w:rFonts w:ascii="Arial" w:hAnsi="Arial" w:cs="Arial"/>
          <w:sz w:val="20"/>
          <w:szCs w:val="20"/>
        </w:rPr>
      </w:pPr>
    </w:p>
    <w:p w:rsidR="008835AA" w:rsidRDefault="00E01D8D" w:rsidP="00DD75BA">
      <w:pPr>
        <w:pStyle w:val="Default"/>
        <w:spacing w:after="120"/>
        <w:jc w:val="both"/>
        <w:rPr>
          <w:sz w:val="20"/>
          <w:szCs w:val="20"/>
        </w:rPr>
      </w:pPr>
      <w:r w:rsidRPr="00E01D8D">
        <w:rPr>
          <w:sz w:val="20"/>
          <w:szCs w:val="20"/>
        </w:rPr>
        <w:t xml:space="preserve">Cet appel à projets vise donc à financer des projets </w:t>
      </w:r>
      <w:r w:rsidR="00DD75BA">
        <w:rPr>
          <w:sz w:val="20"/>
          <w:szCs w:val="20"/>
        </w:rPr>
        <w:t xml:space="preserve">répondant aux besoins mentionnés ci-dessus et </w:t>
      </w:r>
      <w:r w:rsidRPr="00E01D8D">
        <w:rPr>
          <w:sz w:val="20"/>
          <w:szCs w:val="20"/>
        </w:rPr>
        <w:t xml:space="preserve">développés par les </w:t>
      </w:r>
      <w:r w:rsidR="00F25909">
        <w:rPr>
          <w:sz w:val="20"/>
          <w:szCs w:val="20"/>
        </w:rPr>
        <w:t xml:space="preserve">centres hospitaliers de la </w:t>
      </w:r>
      <w:r w:rsidR="00F25909" w:rsidRPr="00E01D8D">
        <w:rPr>
          <w:sz w:val="20"/>
          <w:szCs w:val="20"/>
        </w:rPr>
        <w:t xml:space="preserve">région PACA </w:t>
      </w:r>
      <w:r w:rsidR="00F25909">
        <w:rPr>
          <w:sz w:val="20"/>
          <w:szCs w:val="20"/>
        </w:rPr>
        <w:t>disposant d’une PASS</w:t>
      </w:r>
      <w:r w:rsidR="00DD75BA">
        <w:rPr>
          <w:sz w:val="20"/>
          <w:szCs w:val="20"/>
        </w:rPr>
        <w:t>.</w:t>
      </w:r>
    </w:p>
    <w:p w:rsidR="00DD75BA" w:rsidRPr="00397A67" w:rsidRDefault="00DD75BA" w:rsidP="00DD75BA">
      <w:pPr>
        <w:pStyle w:val="Default"/>
        <w:numPr>
          <w:ilvl w:val="0"/>
          <w:numId w:val="3"/>
        </w:numPr>
        <w:jc w:val="both"/>
        <w:rPr>
          <w:b/>
          <w:sz w:val="20"/>
          <w:szCs w:val="20"/>
        </w:rPr>
      </w:pPr>
      <w:r w:rsidRPr="00397A67">
        <w:rPr>
          <w:b/>
          <w:sz w:val="20"/>
          <w:szCs w:val="20"/>
        </w:rPr>
        <w:t>Prise en compte des soins bucco-dentaires</w:t>
      </w:r>
    </w:p>
    <w:p w:rsidR="00E3431E" w:rsidRDefault="0001011A" w:rsidP="00DD75BA">
      <w:pPr>
        <w:pStyle w:val="Default"/>
        <w:jc w:val="both"/>
        <w:rPr>
          <w:sz w:val="20"/>
          <w:szCs w:val="20"/>
        </w:rPr>
      </w:pPr>
      <w:r>
        <w:rPr>
          <w:sz w:val="20"/>
          <w:szCs w:val="20"/>
        </w:rPr>
        <w:t xml:space="preserve">Les projets proposés pourront </w:t>
      </w:r>
      <w:r w:rsidR="00E3431E">
        <w:rPr>
          <w:sz w:val="20"/>
          <w:szCs w:val="20"/>
        </w:rPr>
        <w:t>comporter les modalités suivantes :</w:t>
      </w:r>
    </w:p>
    <w:p w:rsidR="00397A67" w:rsidRPr="00397A67" w:rsidRDefault="0001011A" w:rsidP="00E3431E">
      <w:pPr>
        <w:pStyle w:val="Default"/>
        <w:numPr>
          <w:ilvl w:val="0"/>
          <w:numId w:val="7"/>
        </w:numPr>
        <w:jc w:val="both"/>
        <w:rPr>
          <w:sz w:val="20"/>
          <w:szCs w:val="20"/>
        </w:rPr>
      </w:pPr>
      <w:r w:rsidRPr="00397A67">
        <w:rPr>
          <w:sz w:val="20"/>
          <w:szCs w:val="20"/>
        </w:rPr>
        <w:t>proposition d’un examen bucco-dentaire systématique</w:t>
      </w:r>
      <w:r w:rsidR="00E3431E" w:rsidRPr="00397A67">
        <w:rPr>
          <w:sz w:val="20"/>
          <w:szCs w:val="20"/>
        </w:rPr>
        <w:t xml:space="preserve"> </w:t>
      </w:r>
      <w:r w:rsidR="00397A67" w:rsidRPr="00397A67">
        <w:rPr>
          <w:sz w:val="20"/>
          <w:szCs w:val="20"/>
        </w:rPr>
        <w:t xml:space="preserve">et gratuit </w:t>
      </w:r>
      <w:r w:rsidR="00E3431E" w:rsidRPr="00397A67">
        <w:rPr>
          <w:sz w:val="20"/>
          <w:szCs w:val="20"/>
        </w:rPr>
        <w:t>aux personnes reçues à la PASS</w:t>
      </w:r>
      <w:r w:rsidR="00397A67" w:rsidRPr="00397A67">
        <w:rPr>
          <w:sz w:val="20"/>
          <w:szCs w:val="20"/>
        </w:rPr>
        <w:t xml:space="preserve">. Pour les </w:t>
      </w:r>
      <w:r w:rsidR="00397A67" w:rsidRPr="009A2D22">
        <w:rPr>
          <w:color w:val="auto"/>
          <w:sz w:val="20"/>
          <w:szCs w:val="20"/>
        </w:rPr>
        <w:t>établissements ne disposant pas d’un service d’odontologie, une convention avec</w:t>
      </w:r>
      <w:r w:rsidR="00E77B92" w:rsidRPr="009A2D22">
        <w:rPr>
          <w:color w:val="auto"/>
          <w:sz w:val="20"/>
          <w:szCs w:val="20"/>
        </w:rPr>
        <w:t xml:space="preserve"> un chirurgien-dentiste libéral, </w:t>
      </w:r>
      <w:r w:rsidR="00C577B8" w:rsidRPr="009A2D22">
        <w:rPr>
          <w:color w:val="auto"/>
          <w:sz w:val="20"/>
          <w:szCs w:val="20"/>
        </w:rPr>
        <w:t>un centre de santé</w:t>
      </w:r>
      <w:r w:rsidR="00611B69" w:rsidRPr="009A2D22">
        <w:rPr>
          <w:color w:val="auto"/>
          <w:sz w:val="20"/>
          <w:szCs w:val="20"/>
        </w:rPr>
        <w:t xml:space="preserve"> dentaire</w:t>
      </w:r>
      <w:r w:rsidR="00E77B92" w:rsidRPr="009A2D22">
        <w:rPr>
          <w:color w:val="auto"/>
          <w:sz w:val="20"/>
          <w:szCs w:val="20"/>
        </w:rPr>
        <w:t xml:space="preserve"> ou toute structure disposant d’un cabinet dentaire</w:t>
      </w:r>
      <w:r w:rsidR="00611B69" w:rsidRPr="009A2D22">
        <w:rPr>
          <w:color w:val="auto"/>
          <w:sz w:val="20"/>
          <w:szCs w:val="20"/>
        </w:rPr>
        <w:t xml:space="preserve"> </w:t>
      </w:r>
      <w:r w:rsidR="00397A67" w:rsidRPr="009A2D22">
        <w:rPr>
          <w:color w:val="auto"/>
          <w:sz w:val="20"/>
          <w:szCs w:val="20"/>
        </w:rPr>
        <w:t>pourrait permettre d’</w:t>
      </w:r>
      <w:r w:rsidR="00A46454" w:rsidRPr="009A2D22">
        <w:rPr>
          <w:color w:val="auto"/>
          <w:sz w:val="20"/>
          <w:szCs w:val="20"/>
        </w:rPr>
        <w:t>assurer cette prestation. Si un</w:t>
      </w:r>
      <w:r w:rsidR="00397A67" w:rsidRPr="009A2D22">
        <w:rPr>
          <w:color w:val="auto"/>
          <w:sz w:val="20"/>
          <w:szCs w:val="20"/>
        </w:rPr>
        <w:t xml:space="preserve"> traitement médicamenteux est nécessaire, il pourra être</w:t>
      </w:r>
      <w:r w:rsidR="00397A67" w:rsidRPr="00397A67">
        <w:rPr>
          <w:sz w:val="20"/>
          <w:szCs w:val="20"/>
        </w:rPr>
        <w:t xml:space="preserve"> délivré au patient auprès de la pharmacie de l’hôpital pour délivrance </w:t>
      </w:r>
      <w:r w:rsidR="00385EC5">
        <w:rPr>
          <w:sz w:val="20"/>
          <w:szCs w:val="20"/>
        </w:rPr>
        <w:t>sans frais</w:t>
      </w:r>
      <w:r w:rsidR="00397A67" w:rsidRPr="00397A67">
        <w:rPr>
          <w:sz w:val="20"/>
          <w:szCs w:val="20"/>
        </w:rPr>
        <w:t xml:space="preserve"> selon la filière classique PASS.</w:t>
      </w:r>
    </w:p>
    <w:p w:rsidR="00DD75BA" w:rsidRPr="00A46454" w:rsidRDefault="00397A67" w:rsidP="00E3431E">
      <w:pPr>
        <w:pStyle w:val="Default"/>
        <w:numPr>
          <w:ilvl w:val="0"/>
          <w:numId w:val="7"/>
        </w:numPr>
        <w:jc w:val="both"/>
        <w:rPr>
          <w:sz w:val="20"/>
          <w:szCs w:val="20"/>
        </w:rPr>
      </w:pPr>
      <w:r w:rsidRPr="00397A67">
        <w:rPr>
          <w:sz w:val="20"/>
          <w:szCs w:val="20"/>
        </w:rPr>
        <w:t xml:space="preserve"> </w:t>
      </w:r>
      <w:r w:rsidR="009D3194" w:rsidRPr="00A46454">
        <w:rPr>
          <w:sz w:val="20"/>
          <w:szCs w:val="20"/>
        </w:rPr>
        <w:t xml:space="preserve">Si </w:t>
      </w:r>
      <w:r w:rsidR="009E1AFF" w:rsidRPr="00A46454">
        <w:rPr>
          <w:sz w:val="20"/>
          <w:szCs w:val="20"/>
        </w:rPr>
        <w:t>des soins sont nécessaires, leur</w:t>
      </w:r>
      <w:r w:rsidR="00E3431E" w:rsidRPr="00A46454">
        <w:rPr>
          <w:sz w:val="20"/>
          <w:szCs w:val="20"/>
        </w:rPr>
        <w:t xml:space="preserve"> prise en charge </w:t>
      </w:r>
      <w:r w:rsidR="009E1AFF" w:rsidRPr="00A46454">
        <w:rPr>
          <w:sz w:val="20"/>
          <w:szCs w:val="20"/>
        </w:rPr>
        <w:t xml:space="preserve">sera assurée dans les mêmes conditions que les autres soins pour les patients disposant de droits potentiels. </w:t>
      </w:r>
      <w:r w:rsidR="00A46454" w:rsidRPr="00A46454">
        <w:rPr>
          <w:sz w:val="20"/>
          <w:szCs w:val="20"/>
        </w:rPr>
        <w:t>Les crédits sollicités dans le cadre de cet appel à projets pourront</w:t>
      </w:r>
      <w:r w:rsidR="009E1AFF" w:rsidRPr="00A46454">
        <w:rPr>
          <w:sz w:val="20"/>
          <w:szCs w:val="20"/>
        </w:rPr>
        <w:t xml:space="preserve"> </w:t>
      </w:r>
      <w:r w:rsidR="00A46454" w:rsidRPr="00A46454">
        <w:rPr>
          <w:sz w:val="20"/>
          <w:szCs w:val="20"/>
        </w:rPr>
        <w:t xml:space="preserve">exceptionnellement </w:t>
      </w:r>
      <w:r w:rsidR="008452C7" w:rsidRPr="00A46454">
        <w:rPr>
          <w:sz w:val="20"/>
          <w:szCs w:val="20"/>
        </w:rPr>
        <w:t>être affectés au financement des soins urgents pour l</w:t>
      </w:r>
      <w:r w:rsidR="00A46454">
        <w:rPr>
          <w:sz w:val="20"/>
          <w:szCs w:val="20"/>
        </w:rPr>
        <w:t>es patients sans droits potentiels.</w:t>
      </w:r>
    </w:p>
    <w:p w:rsidR="009D3194" w:rsidRDefault="009D3194" w:rsidP="009D3194">
      <w:pPr>
        <w:pStyle w:val="Default"/>
        <w:ind w:left="55"/>
        <w:jc w:val="both"/>
        <w:rPr>
          <w:sz w:val="20"/>
          <w:szCs w:val="20"/>
        </w:rPr>
      </w:pPr>
    </w:p>
    <w:p w:rsidR="00DD75BA" w:rsidRPr="00397A67" w:rsidRDefault="00DD75BA" w:rsidP="00DD75BA">
      <w:pPr>
        <w:pStyle w:val="Default"/>
        <w:numPr>
          <w:ilvl w:val="0"/>
          <w:numId w:val="3"/>
        </w:numPr>
        <w:jc w:val="both"/>
        <w:rPr>
          <w:b/>
          <w:sz w:val="20"/>
          <w:szCs w:val="20"/>
        </w:rPr>
      </w:pPr>
      <w:r w:rsidRPr="00397A67">
        <w:rPr>
          <w:b/>
          <w:sz w:val="20"/>
          <w:szCs w:val="20"/>
        </w:rPr>
        <w:t>Recours aux soins gynécologiques</w:t>
      </w:r>
    </w:p>
    <w:p w:rsidR="007029E9" w:rsidRDefault="004E22B9" w:rsidP="00DD75BA">
      <w:pPr>
        <w:pStyle w:val="Default"/>
        <w:jc w:val="both"/>
        <w:rPr>
          <w:color w:val="auto"/>
          <w:sz w:val="20"/>
          <w:szCs w:val="20"/>
        </w:rPr>
      </w:pPr>
      <w:r>
        <w:rPr>
          <w:color w:val="auto"/>
          <w:sz w:val="20"/>
          <w:szCs w:val="20"/>
        </w:rPr>
        <w:t xml:space="preserve">Les projets pourraient s’appuyer sur la mise en œuvre de consultations gynécologiques </w:t>
      </w:r>
      <w:r w:rsidR="001C4315">
        <w:rPr>
          <w:color w:val="auto"/>
          <w:sz w:val="20"/>
          <w:szCs w:val="20"/>
        </w:rPr>
        <w:t xml:space="preserve">qui pourraient, si cela est possible techniquement, être </w:t>
      </w:r>
      <w:proofErr w:type="gramStart"/>
      <w:r>
        <w:rPr>
          <w:color w:val="auto"/>
          <w:sz w:val="20"/>
          <w:szCs w:val="20"/>
        </w:rPr>
        <w:t>proposées</w:t>
      </w:r>
      <w:proofErr w:type="gramEnd"/>
      <w:r>
        <w:rPr>
          <w:color w:val="auto"/>
          <w:sz w:val="20"/>
          <w:szCs w:val="20"/>
        </w:rPr>
        <w:t xml:space="preserve"> aux femmes dans les lieux d’accueil ou d’hébergement auxquels elles ont recours. Il s’agit d’aller au-devant de ces publics pour favoriser l’accès à la consultation et leur fidélisation dans ces lieux. L’étude citée plus haut recommande que « </w:t>
      </w:r>
      <w:r w:rsidRPr="004E22B9">
        <w:rPr>
          <w:i/>
          <w:color w:val="auto"/>
          <w:sz w:val="20"/>
          <w:szCs w:val="20"/>
        </w:rPr>
        <w:t>ces consultations soient assurées par des gynécologues femmes pour permettre aux femmes de se sentir en confiance, d’autant qu’elles sont nombreuses à avoir subi dans leur passé des violences sexuelles</w:t>
      </w:r>
      <w:r>
        <w:rPr>
          <w:color w:val="auto"/>
          <w:sz w:val="20"/>
          <w:szCs w:val="20"/>
        </w:rPr>
        <w:t xml:space="preserve"> ». </w:t>
      </w:r>
      <w:r w:rsidR="007029E9">
        <w:rPr>
          <w:color w:val="auto"/>
          <w:sz w:val="20"/>
          <w:szCs w:val="20"/>
        </w:rPr>
        <w:t>Dans le cadre de ces consultations un lien sera établi avec la PASS pour examiner la couverture sociale de ces femmes</w:t>
      </w:r>
      <w:r w:rsidR="001C4315">
        <w:rPr>
          <w:color w:val="auto"/>
          <w:sz w:val="20"/>
          <w:szCs w:val="20"/>
        </w:rPr>
        <w:t>, procéder à un examen plus complet</w:t>
      </w:r>
      <w:r w:rsidR="007029E9">
        <w:rPr>
          <w:color w:val="auto"/>
          <w:sz w:val="20"/>
          <w:szCs w:val="20"/>
        </w:rPr>
        <w:t xml:space="preserve"> et éventuellement </w:t>
      </w:r>
      <w:r w:rsidR="001C4315">
        <w:rPr>
          <w:color w:val="auto"/>
          <w:sz w:val="20"/>
          <w:szCs w:val="20"/>
        </w:rPr>
        <w:t xml:space="preserve">prescrire les examens complémentaires nécessaires et </w:t>
      </w:r>
      <w:r w:rsidR="007029E9">
        <w:rPr>
          <w:color w:val="auto"/>
          <w:sz w:val="20"/>
          <w:szCs w:val="20"/>
        </w:rPr>
        <w:t>permettre la délivrance des traitements prescrits.</w:t>
      </w:r>
    </w:p>
    <w:p w:rsidR="00DD75BA" w:rsidRDefault="004E22B9" w:rsidP="00DD75BA">
      <w:pPr>
        <w:pStyle w:val="Default"/>
        <w:jc w:val="both"/>
        <w:rPr>
          <w:color w:val="auto"/>
          <w:sz w:val="20"/>
          <w:szCs w:val="20"/>
        </w:rPr>
      </w:pPr>
      <w:r>
        <w:rPr>
          <w:color w:val="auto"/>
          <w:sz w:val="20"/>
          <w:szCs w:val="20"/>
        </w:rPr>
        <w:t>Ces projets pourraient être développés dans le cadre d’une mobilité de la PASS hors de l’hôpital.</w:t>
      </w:r>
    </w:p>
    <w:p w:rsidR="00765269" w:rsidRPr="009A2D22" w:rsidRDefault="00765269" w:rsidP="00DD75BA">
      <w:pPr>
        <w:pStyle w:val="Default"/>
        <w:jc w:val="both"/>
        <w:rPr>
          <w:color w:val="auto"/>
          <w:sz w:val="20"/>
          <w:szCs w:val="20"/>
        </w:rPr>
      </w:pPr>
      <w:r w:rsidRPr="009A2D22">
        <w:rPr>
          <w:color w:val="auto"/>
          <w:sz w:val="20"/>
          <w:szCs w:val="20"/>
        </w:rPr>
        <w:t>De plus, des temps d’échanges dans les lieux d’accueil et d’hébergement pourraient être proposés pour contribuer à l’accès à la contraception, à la sensibilisation et à la prévention des IST et des pathologies gynécologiques et favoriser l’expression sur les violences subies.</w:t>
      </w:r>
      <w:r w:rsidR="00274AA6" w:rsidRPr="009A2D22">
        <w:rPr>
          <w:color w:val="auto"/>
          <w:sz w:val="20"/>
          <w:szCs w:val="20"/>
        </w:rPr>
        <w:t xml:space="preserve"> Pour cette dernière activité, l’établissement hospitalier pourra faire appel à une structure prestataire disposant d’une expérience en la matière.</w:t>
      </w:r>
    </w:p>
    <w:p w:rsidR="007A4C23" w:rsidRPr="007A4C23" w:rsidRDefault="007A4C23" w:rsidP="00DD75BA">
      <w:pPr>
        <w:pStyle w:val="Default"/>
        <w:jc w:val="both"/>
        <w:rPr>
          <w:sz w:val="20"/>
          <w:szCs w:val="20"/>
        </w:rPr>
      </w:pPr>
    </w:p>
    <w:p w:rsidR="008C08BB" w:rsidRPr="00397A67" w:rsidRDefault="00397A67" w:rsidP="00397A67">
      <w:pPr>
        <w:pStyle w:val="Paragraphedeliste"/>
        <w:numPr>
          <w:ilvl w:val="0"/>
          <w:numId w:val="3"/>
        </w:numPr>
        <w:spacing w:after="0" w:line="240" w:lineRule="auto"/>
        <w:ind w:left="714" w:hanging="357"/>
        <w:jc w:val="both"/>
        <w:rPr>
          <w:rFonts w:ascii="Arial" w:hAnsi="Arial" w:cs="Arial"/>
          <w:b/>
          <w:sz w:val="20"/>
          <w:szCs w:val="20"/>
        </w:rPr>
      </w:pPr>
      <w:r w:rsidRPr="00397A67">
        <w:rPr>
          <w:rFonts w:ascii="Arial" w:hAnsi="Arial" w:cs="Arial"/>
          <w:b/>
          <w:sz w:val="20"/>
          <w:szCs w:val="20"/>
        </w:rPr>
        <w:t>Renforcement des stratégies de dépistage et de prévention de l’infection à VIH et autres IST, des hépatites B et C</w:t>
      </w:r>
      <w:r w:rsidR="00A46454">
        <w:rPr>
          <w:rFonts w:ascii="Arial" w:hAnsi="Arial" w:cs="Arial"/>
          <w:b/>
          <w:sz w:val="20"/>
          <w:szCs w:val="20"/>
        </w:rPr>
        <w:t xml:space="preserve"> et de la tuberculose</w:t>
      </w:r>
    </w:p>
    <w:p w:rsidR="00397A67" w:rsidRDefault="00397A67" w:rsidP="00397A67">
      <w:pPr>
        <w:pStyle w:val="Sylvie"/>
        <w:jc w:val="both"/>
        <w:rPr>
          <w:rFonts w:ascii="Arial" w:eastAsiaTheme="minorHAnsi" w:hAnsi="Arial" w:cs="Arial"/>
          <w:color w:val="auto"/>
          <w:sz w:val="20"/>
          <w:szCs w:val="20"/>
          <w:lang w:eastAsia="en-US"/>
        </w:rPr>
      </w:pPr>
      <w:r w:rsidRPr="00397A67">
        <w:rPr>
          <w:rFonts w:ascii="Arial" w:eastAsiaTheme="minorHAnsi" w:hAnsi="Arial" w:cs="Arial"/>
          <w:color w:val="auto"/>
          <w:sz w:val="20"/>
          <w:szCs w:val="20"/>
          <w:lang w:eastAsia="en-US"/>
        </w:rPr>
        <w:t xml:space="preserve">L’objectif souhaité </w:t>
      </w:r>
      <w:r>
        <w:rPr>
          <w:rFonts w:ascii="Arial" w:eastAsiaTheme="minorHAnsi" w:hAnsi="Arial" w:cs="Arial"/>
          <w:color w:val="auto"/>
          <w:sz w:val="20"/>
          <w:szCs w:val="20"/>
          <w:lang w:eastAsia="en-US"/>
        </w:rPr>
        <w:t xml:space="preserve">ici </w:t>
      </w:r>
      <w:r w:rsidRPr="00397A67">
        <w:rPr>
          <w:rFonts w:ascii="Arial" w:eastAsiaTheme="minorHAnsi" w:hAnsi="Arial" w:cs="Arial"/>
          <w:color w:val="auto"/>
          <w:sz w:val="20"/>
          <w:szCs w:val="20"/>
          <w:lang w:eastAsia="en-US"/>
        </w:rPr>
        <w:t>est</w:t>
      </w:r>
      <w:r>
        <w:rPr>
          <w:rFonts w:ascii="Arial" w:eastAsiaTheme="minorHAnsi" w:hAnsi="Arial" w:cs="Arial"/>
          <w:color w:val="auto"/>
          <w:sz w:val="20"/>
          <w:szCs w:val="20"/>
          <w:lang w:eastAsia="en-US"/>
        </w:rPr>
        <w:t> :</w:t>
      </w:r>
    </w:p>
    <w:p w:rsidR="00397A67" w:rsidRDefault="00397A67" w:rsidP="00397A67">
      <w:pPr>
        <w:pStyle w:val="Sylvie"/>
        <w:numPr>
          <w:ilvl w:val="0"/>
          <w:numId w:val="9"/>
        </w:numPr>
        <w:jc w:val="both"/>
        <w:rPr>
          <w:rFonts w:ascii="Arial" w:eastAsiaTheme="minorHAnsi" w:hAnsi="Arial" w:cs="Arial"/>
          <w:color w:val="auto"/>
          <w:sz w:val="20"/>
          <w:szCs w:val="20"/>
          <w:lang w:eastAsia="en-US"/>
        </w:rPr>
      </w:pPr>
      <w:r w:rsidRPr="00397A67">
        <w:rPr>
          <w:rFonts w:ascii="Arial" w:eastAsiaTheme="minorHAnsi" w:hAnsi="Arial" w:cs="Arial"/>
          <w:color w:val="auto"/>
          <w:sz w:val="20"/>
          <w:szCs w:val="20"/>
          <w:lang w:eastAsia="en-US"/>
        </w:rPr>
        <w:t xml:space="preserve">d’une part de </w:t>
      </w:r>
      <w:r w:rsidRPr="009A2D22">
        <w:rPr>
          <w:rFonts w:ascii="Arial" w:eastAsiaTheme="minorHAnsi" w:hAnsi="Arial" w:cs="Arial"/>
          <w:color w:val="auto"/>
          <w:sz w:val="20"/>
          <w:szCs w:val="20"/>
          <w:lang w:eastAsia="en-US"/>
        </w:rPr>
        <w:t>renforcer l’information,</w:t>
      </w:r>
      <w:r w:rsidR="001B3C33" w:rsidRPr="009A2D22">
        <w:rPr>
          <w:rFonts w:ascii="Arial" w:eastAsiaTheme="minorHAnsi" w:hAnsi="Arial" w:cs="Arial"/>
          <w:color w:val="auto"/>
          <w:sz w:val="20"/>
          <w:szCs w:val="20"/>
          <w:lang w:eastAsia="en-US"/>
        </w:rPr>
        <w:t xml:space="preserve"> la prévention, l’accès au</w:t>
      </w:r>
      <w:r w:rsidRPr="009A2D22">
        <w:rPr>
          <w:rFonts w:ascii="Arial" w:eastAsiaTheme="minorHAnsi" w:hAnsi="Arial" w:cs="Arial"/>
          <w:color w:val="auto"/>
          <w:sz w:val="20"/>
          <w:szCs w:val="20"/>
          <w:lang w:eastAsia="en-US"/>
        </w:rPr>
        <w:t xml:space="preserve"> dépistage et la qualité de prise en charge des personnes infectées chez les personnes démunies et notamment chez les migrants d’Afrique subsaharienne originaire de zone d’endémicité élevée pour l’hépatite B</w:t>
      </w:r>
      <w:r w:rsidR="008909EA" w:rsidRPr="009A2D22">
        <w:rPr>
          <w:rFonts w:ascii="Arial" w:eastAsiaTheme="minorHAnsi" w:hAnsi="Arial" w:cs="Arial"/>
          <w:color w:val="auto"/>
          <w:sz w:val="20"/>
          <w:szCs w:val="20"/>
          <w:lang w:eastAsia="en-US"/>
        </w:rPr>
        <w:t xml:space="preserve">. Une orientation sera effectuée, </w:t>
      </w:r>
      <w:r w:rsidR="001B3C33" w:rsidRPr="009A2D22">
        <w:rPr>
          <w:rFonts w:ascii="Arial" w:eastAsiaTheme="minorHAnsi" w:hAnsi="Arial" w:cs="Arial"/>
          <w:color w:val="auto"/>
          <w:sz w:val="20"/>
          <w:szCs w:val="20"/>
          <w:lang w:eastAsia="en-US"/>
        </w:rPr>
        <w:t xml:space="preserve">avec éventuellement un accompagnement </w:t>
      </w:r>
      <w:r w:rsidR="008909EA" w:rsidRPr="009A2D22">
        <w:rPr>
          <w:rFonts w:ascii="Arial" w:eastAsiaTheme="minorHAnsi" w:hAnsi="Arial" w:cs="Arial"/>
          <w:color w:val="auto"/>
          <w:sz w:val="20"/>
          <w:szCs w:val="20"/>
          <w:lang w:eastAsia="en-US"/>
        </w:rPr>
        <w:t>vers les centres gratuits d’information, de dépistage et de diagnostic des infections sexuellement transmissibles (CeGIDD) qui</w:t>
      </w:r>
      <w:r w:rsidR="009A2D22" w:rsidRPr="009A2D22">
        <w:rPr>
          <w:rFonts w:ascii="Arial" w:eastAsiaTheme="minorHAnsi" w:hAnsi="Arial" w:cs="Arial"/>
          <w:color w:val="auto"/>
          <w:sz w:val="20"/>
          <w:szCs w:val="20"/>
          <w:lang w:eastAsia="en-US"/>
        </w:rPr>
        <w:t xml:space="preserve"> </w:t>
      </w:r>
      <w:r w:rsidR="008909EA" w:rsidRPr="009A2D22">
        <w:rPr>
          <w:rFonts w:ascii="Arial" w:eastAsiaTheme="minorHAnsi" w:hAnsi="Arial" w:cs="Arial"/>
          <w:color w:val="auto"/>
          <w:sz w:val="20"/>
          <w:szCs w:val="20"/>
          <w:lang w:eastAsia="en-US"/>
        </w:rPr>
        <w:t xml:space="preserve">regroupent </w:t>
      </w:r>
      <w:r w:rsidR="001B3C33" w:rsidRPr="009A2D22">
        <w:rPr>
          <w:rFonts w:ascii="Arial" w:eastAsiaTheme="minorHAnsi" w:hAnsi="Arial" w:cs="Arial"/>
          <w:color w:val="auto"/>
          <w:sz w:val="20"/>
          <w:szCs w:val="20"/>
          <w:lang w:eastAsia="en-US"/>
        </w:rPr>
        <w:t xml:space="preserve">désormais </w:t>
      </w:r>
      <w:r w:rsidR="008909EA" w:rsidRPr="009A2D22">
        <w:rPr>
          <w:rFonts w:ascii="Arial" w:eastAsiaTheme="minorHAnsi" w:hAnsi="Arial" w:cs="Arial"/>
          <w:color w:val="auto"/>
          <w:sz w:val="20"/>
          <w:szCs w:val="20"/>
          <w:lang w:eastAsia="en-US"/>
        </w:rPr>
        <w:t>les</w:t>
      </w:r>
      <w:r w:rsidR="008909EA">
        <w:rPr>
          <w:rFonts w:ascii="Arial" w:eastAsiaTheme="minorHAnsi" w:hAnsi="Arial" w:cs="Arial"/>
          <w:color w:val="auto"/>
          <w:sz w:val="20"/>
          <w:szCs w:val="20"/>
          <w:lang w:eastAsia="en-US"/>
        </w:rPr>
        <w:t xml:space="preserve"> activités assurées précédemment dans les CDAG et les CIDDIST.</w:t>
      </w:r>
    </w:p>
    <w:p w:rsidR="00397A67" w:rsidRDefault="00397A67" w:rsidP="00397A67">
      <w:pPr>
        <w:pStyle w:val="Sylvie"/>
        <w:numPr>
          <w:ilvl w:val="0"/>
          <w:numId w:val="9"/>
        </w:numPr>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d’</w:t>
      </w:r>
      <w:r w:rsidRPr="00397A67">
        <w:rPr>
          <w:rFonts w:ascii="Arial" w:eastAsiaTheme="minorHAnsi" w:hAnsi="Arial" w:cs="Arial"/>
          <w:color w:val="auto"/>
          <w:sz w:val="20"/>
          <w:szCs w:val="20"/>
          <w:lang w:eastAsia="en-US"/>
        </w:rPr>
        <w:t>autre part d’améliorer le parcours de soins des populations démunies consultant à la PASS dans le cadre de</w:t>
      </w:r>
      <w:r w:rsidR="00A46454">
        <w:rPr>
          <w:rFonts w:ascii="Arial" w:eastAsiaTheme="minorHAnsi" w:hAnsi="Arial" w:cs="Arial"/>
          <w:color w:val="auto"/>
          <w:sz w:val="20"/>
          <w:szCs w:val="20"/>
          <w:lang w:eastAsia="en-US"/>
        </w:rPr>
        <w:t xml:space="preserve"> ce</w:t>
      </w:r>
      <w:r w:rsidRPr="00397A67">
        <w:rPr>
          <w:rFonts w:ascii="Arial" w:eastAsiaTheme="minorHAnsi" w:hAnsi="Arial" w:cs="Arial"/>
          <w:color w:val="auto"/>
          <w:sz w:val="20"/>
          <w:szCs w:val="20"/>
          <w:lang w:eastAsia="en-US"/>
        </w:rPr>
        <w:t xml:space="preserve">s </w:t>
      </w:r>
      <w:r w:rsidR="00A46454">
        <w:rPr>
          <w:rFonts w:ascii="Arial" w:eastAsiaTheme="minorHAnsi" w:hAnsi="Arial" w:cs="Arial"/>
          <w:color w:val="auto"/>
          <w:sz w:val="20"/>
          <w:szCs w:val="20"/>
          <w:lang w:eastAsia="en-US"/>
        </w:rPr>
        <w:t>pathologies</w:t>
      </w:r>
      <w:r w:rsidRPr="00397A67">
        <w:rPr>
          <w:rFonts w:ascii="Arial" w:eastAsiaTheme="minorHAnsi" w:hAnsi="Arial" w:cs="Arial"/>
          <w:color w:val="auto"/>
          <w:sz w:val="20"/>
          <w:szCs w:val="20"/>
          <w:lang w:eastAsia="en-US"/>
        </w:rPr>
        <w:t xml:space="preserve"> en élaborant </w:t>
      </w:r>
      <w:r w:rsidR="007C2065">
        <w:rPr>
          <w:rFonts w:ascii="Arial" w:eastAsiaTheme="minorHAnsi" w:hAnsi="Arial" w:cs="Arial"/>
          <w:color w:val="auto"/>
          <w:sz w:val="20"/>
          <w:szCs w:val="20"/>
          <w:lang w:eastAsia="en-US"/>
        </w:rPr>
        <w:t>avec l</w:t>
      </w:r>
      <w:r>
        <w:rPr>
          <w:rFonts w:ascii="Arial" w:eastAsiaTheme="minorHAnsi" w:hAnsi="Arial" w:cs="Arial"/>
          <w:color w:val="auto"/>
          <w:sz w:val="20"/>
          <w:szCs w:val="20"/>
          <w:lang w:eastAsia="en-US"/>
        </w:rPr>
        <w:t>es partenaires</w:t>
      </w:r>
      <w:r w:rsidRPr="00397A67">
        <w:rPr>
          <w:rFonts w:ascii="Arial" w:eastAsiaTheme="minorHAnsi" w:hAnsi="Arial" w:cs="Arial"/>
          <w:color w:val="auto"/>
          <w:sz w:val="20"/>
          <w:szCs w:val="20"/>
          <w:lang w:eastAsia="en-US"/>
        </w:rPr>
        <w:t xml:space="preserve"> </w:t>
      </w:r>
      <w:r w:rsidR="007C2065">
        <w:rPr>
          <w:rFonts w:ascii="Arial" w:eastAsiaTheme="minorHAnsi" w:hAnsi="Arial" w:cs="Arial"/>
          <w:color w:val="auto"/>
          <w:sz w:val="20"/>
          <w:szCs w:val="20"/>
          <w:lang w:eastAsia="en-US"/>
        </w:rPr>
        <w:t xml:space="preserve">de la PASS </w:t>
      </w:r>
      <w:r w:rsidRPr="00397A67">
        <w:rPr>
          <w:rFonts w:ascii="Arial" w:eastAsiaTheme="minorHAnsi" w:hAnsi="Arial" w:cs="Arial"/>
          <w:color w:val="auto"/>
          <w:sz w:val="20"/>
          <w:szCs w:val="20"/>
          <w:lang w:eastAsia="en-US"/>
        </w:rPr>
        <w:t xml:space="preserve">un parcours de soins adapté </w:t>
      </w:r>
      <w:r>
        <w:rPr>
          <w:rFonts w:ascii="Arial" w:eastAsiaTheme="minorHAnsi" w:hAnsi="Arial" w:cs="Arial"/>
          <w:color w:val="auto"/>
          <w:sz w:val="20"/>
          <w:szCs w:val="20"/>
          <w:lang w:eastAsia="en-US"/>
        </w:rPr>
        <w:t>aux</w:t>
      </w:r>
      <w:r w:rsidRPr="00397A67">
        <w:rPr>
          <w:rFonts w:ascii="Arial" w:eastAsiaTheme="minorHAnsi" w:hAnsi="Arial" w:cs="Arial"/>
          <w:color w:val="auto"/>
          <w:sz w:val="20"/>
          <w:szCs w:val="20"/>
          <w:lang w:eastAsia="en-US"/>
        </w:rPr>
        <w:t xml:space="preserve"> vulnérabilités sociales</w:t>
      </w:r>
      <w:r>
        <w:rPr>
          <w:rFonts w:ascii="Arial" w:eastAsiaTheme="minorHAnsi" w:hAnsi="Arial" w:cs="Arial"/>
          <w:color w:val="auto"/>
          <w:sz w:val="20"/>
          <w:szCs w:val="20"/>
          <w:lang w:eastAsia="en-US"/>
        </w:rPr>
        <w:t xml:space="preserve"> des publics visés</w:t>
      </w:r>
      <w:r w:rsidRPr="00397A67">
        <w:rPr>
          <w:rFonts w:ascii="Arial" w:eastAsiaTheme="minorHAnsi" w:hAnsi="Arial" w:cs="Arial"/>
          <w:color w:val="auto"/>
          <w:sz w:val="20"/>
          <w:szCs w:val="20"/>
          <w:lang w:eastAsia="en-US"/>
        </w:rPr>
        <w:t>.</w:t>
      </w:r>
    </w:p>
    <w:p w:rsidR="00940115" w:rsidRPr="00397A67" w:rsidRDefault="00940115" w:rsidP="00940115">
      <w:pPr>
        <w:pStyle w:val="Sylvie"/>
        <w:jc w:val="both"/>
        <w:rPr>
          <w:rFonts w:ascii="Arial" w:eastAsiaTheme="minorHAnsi" w:hAnsi="Arial" w:cs="Arial"/>
          <w:color w:val="auto"/>
          <w:sz w:val="20"/>
          <w:szCs w:val="20"/>
          <w:lang w:eastAsia="en-US"/>
        </w:rPr>
      </w:pPr>
    </w:p>
    <w:p w:rsidR="00931BAE" w:rsidRPr="00940115" w:rsidRDefault="00940115" w:rsidP="00940115">
      <w:pPr>
        <w:pStyle w:val="Paragraphedeliste"/>
        <w:numPr>
          <w:ilvl w:val="0"/>
          <w:numId w:val="3"/>
        </w:numPr>
        <w:spacing w:after="0" w:line="240" w:lineRule="auto"/>
        <w:ind w:left="714" w:hanging="357"/>
        <w:jc w:val="both"/>
        <w:rPr>
          <w:rFonts w:ascii="Arial" w:hAnsi="Arial" w:cs="Arial"/>
          <w:b/>
          <w:sz w:val="20"/>
          <w:szCs w:val="20"/>
        </w:rPr>
      </w:pPr>
      <w:r>
        <w:rPr>
          <w:rFonts w:ascii="Arial" w:hAnsi="Arial" w:cs="Arial"/>
          <w:b/>
          <w:sz w:val="20"/>
          <w:szCs w:val="20"/>
        </w:rPr>
        <w:t>F</w:t>
      </w:r>
      <w:r w:rsidRPr="00940115">
        <w:rPr>
          <w:rFonts w:ascii="Arial" w:hAnsi="Arial" w:cs="Arial"/>
          <w:b/>
          <w:sz w:val="20"/>
          <w:szCs w:val="20"/>
        </w:rPr>
        <w:t>ormation</w:t>
      </w:r>
      <w:r w:rsidR="009244AE">
        <w:rPr>
          <w:rFonts w:ascii="Arial" w:hAnsi="Arial" w:cs="Arial"/>
          <w:b/>
          <w:sz w:val="20"/>
          <w:szCs w:val="20"/>
        </w:rPr>
        <w:t>s</w:t>
      </w:r>
      <w:r w:rsidRPr="00940115">
        <w:rPr>
          <w:rFonts w:ascii="Arial" w:hAnsi="Arial" w:cs="Arial"/>
          <w:b/>
          <w:sz w:val="20"/>
          <w:szCs w:val="20"/>
        </w:rPr>
        <w:t xml:space="preserve"> à l’accueil et à l’orientation des personnes les plus démunies pour les acteurs extrahospitaliers</w:t>
      </w:r>
    </w:p>
    <w:p w:rsidR="009244AE" w:rsidRDefault="00770D91" w:rsidP="002330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personnels des PASS ont</w:t>
      </w:r>
      <w:r w:rsidR="005E5F14" w:rsidRPr="005E5F14">
        <w:rPr>
          <w:rFonts w:ascii="Arial" w:hAnsi="Arial" w:cs="Arial"/>
          <w:sz w:val="20"/>
          <w:szCs w:val="20"/>
        </w:rPr>
        <w:t xml:space="preserve"> </w:t>
      </w:r>
      <w:r>
        <w:rPr>
          <w:rFonts w:ascii="Arial" w:hAnsi="Arial" w:cs="Arial"/>
          <w:sz w:val="20"/>
          <w:szCs w:val="20"/>
        </w:rPr>
        <w:t>l’expertise</w:t>
      </w:r>
      <w:r w:rsidR="005E5F14" w:rsidRPr="005E5F14">
        <w:rPr>
          <w:rFonts w:ascii="Arial" w:hAnsi="Arial" w:cs="Arial"/>
          <w:sz w:val="20"/>
          <w:szCs w:val="20"/>
        </w:rPr>
        <w:t xml:space="preserve"> et la légitimité requise</w:t>
      </w:r>
      <w:r w:rsidR="000779A2">
        <w:rPr>
          <w:rFonts w:ascii="Arial" w:hAnsi="Arial" w:cs="Arial"/>
          <w:sz w:val="20"/>
          <w:szCs w:val="20"/>
        </w:rPr>
        <w:t>s</w:t>
      </w:r>
      <w:r w:rsidR="005E5F14" w:rsidRPr="005E5F14">
        <w:rPr>
          <w:rFonts w:ascii="Arial" w:hAnsi="Arial" w:cs="Arial"/>
          <w:sz w:val="20"/>
          <w:szCs w:val="20"/>
        </w:rPr>
        <w:t xml:space="preserve"> pour </w:t>
      </w:r>
      <w:r w:rsidR="0023309D">
        <w:rPr>
          <w:rFonts w:ascii="Arial" w:hAnsi="Arial" w:cs="Arial"/>
          <w:sz w:val="20"/>
          <w:szCs w:val="20"/>
        </w:rPr>
        <w:t xml:space="preserve">contribuer à mettre en œuvre des formations visant à </w:t>
      </w:r>
      <w:r w:rsidR="000200A2">
        <w:rPr>
          <w:rFonts w:ascii="Arial" w:hAnsi="Arial" w:cs="Arial"/>
          <w:sz w:val="20"/>
          <w:szCs w:val="20"/>
        </w:rPr>
        <w:t>d</w:t>
      </w:r>
      <w:r w:rsidR="000200A2" w:rsidRPr="0023309D">
        <w:rPr>
          <w:rFonts w:ascii="Arial" w:hAnsi="Arial" w:cs="Arial"/>
          <w:sz w:val="20"/>
          <w:szCs w:val="20"/>
        </w:rPr>
        <w:t>évelopper les compétences des acteurs intervenant auprès des populations démunies, à l’égard des différents dispositifs d’accès aux droits et aux soins, à l’aide au repérage et à l’orientation vers les dispositifs existants (</w:t>
      </w:r>
      <w:r w:rsidR="007C2065">
        <w:rPr>
          <w:rFonts w:ascii="Arial" w:hAnsi="Arial" w:cs="Arial"/>
          <w:sz w:val="20"/>
          <w:szCs w:val="20"/>
        </w:rPr>
        <w:t xml:space="preserve">p. ex. </w:t>
      </w:r>
      <w:r w:rsidR="000200A2" w:rsidRPr="0023309D">
        <w:rPr>
          <w:rFonts w:ascii="Arial" w:hAnsi="Arial" w:cs="Arial"/>
          <w:sz w:val="20"/>
          <w:szCs w:val="20"/>
        </w:rPr>
        <w:t>addictions, souffrance psychique...)</w:t>
      </w:r>
      <w:r w:rsidRPr="0023309D">
        <w:rPr>
          <w:rFonts w:ascii="Arial" w:hAnsi="Arial" w:cs="Arial"/>
          <w:sz w:val="20"/>
          <w:szCs w:val="20"/>
        </w:rPr>
        <w:t xml:space="preserve">. </w:t>
      </w:r>
    </w:p>
    <w:p w:rsidR="00731D3D" w:rsidRDefault="00770D91" w:rsidP="0023309D">
      <w:pPr>
        <w:autoSpaceDE w:val="0"/>
        <w:autoSpaceDN w:val="0"/>
        <w:adjustRightInd w:val="0"/>
        <w:spacing w:after="0" w:line="240" w:lineRule="auto"/>
        <w:jc w:val="both"/>
        <w:rPr>
          <w:rFonts w:ascii="Arial" w:hAnsi="Arial" w:cs="Arial"/>
          <w:sz w:val="20"/>
          <w:szCs w:val="20"/>
        </w:rPr>
      </w:pPr>
      <w:r w:rsidRPr="0023309D">
        <w:rPr>
          <w:rFonts w:ascii="Arial" w:hAnsi="Arial" w:cs="Arial"/>
          <w:sz w:val="20"/>
          <w:szCs w:val="20"/>
        </w:rPr>
        <w:t xml:space="preserve">Les projets proposés ici viseront donc à </w:t>
      </w:r>
      <w:r w:rsidR="00202F86">
        <w:rPr>
          <w:rFonts w:ascii="Arial" w:hAnsi="Arial" w:cs="Arial"/>
          <w:sz w:val="20"/>
          <w:szCs w:val="20"/>
        </w:rPr>
        <w:t>proposer des actions permettant d’</w:t>
      </w:r>
      <w:r w:rsidRPr="0023309D">
        <w:rPr>
          <w:rFonts w:ascii="Arial" w:hAnsi="Arial" w:cs="Arial"/>
          <w:sz w:val="20"/>
          <w:szCs w:val="20"/>
        </w:rPr>
        <w:t>apporter aux professionn</w:t>
      </w:r>
      <w:r w:rsidR="000779A2">
        <w:rPr>
          <w:rFonts w:ascii="Arial" w:hAnsi="Arial" w:cs="Arial"/>
          <w:sz w:val="20"/>
          <w:szCs w:val="20"/>
        </w:rPr>
        <w:t xml:space="preserve">els qui sont en première ligne </w:t>
      </w:r>
      <w:r w:rsidR="007C2065">
        <w:rPr>
          <w:rFonts w:ascii="Arial" w:hAnsi="Arial" w:cs="Arial"/>
          <w:sz w:val="20"/>
          <w:szCs w:val="20"/>
        </w:rPr>
        <w:t>dans des dispositifs intervenant en amont</w:t>
      </w:r>
      <w:r w:rsidRPr="0023309D">
        <w:rPr>
          <w:rFonts w:ascii="Arial" w:hAnsi="Arial" w:cs="Arial"/>
          <w:sz w:val="20"/>
          <w:szCs w:val="20"/>
        </w:rPr>
        <w:t xml:space="preserve"> de l’hôpital, </w:t>
      </w:r>
      <w:r w:rsidR="0023309D">
        <w:rPr>
          <w:rFonts w:ascii="Arial" w:hAnsi="Arial" w:cs="Arial"/>
          <w:sz w:val="20"/>
          <w:szCs w:val="20"/>
        </w:rPr>
        <w:t xml:space="preserve">les connaissances nécessaires </w:t>
      </w:r>
      <w:r w:rsidRPr="0023309D">
        <w:rPr>
          <w:rFonts w:ascii="Arial" w:hAnsi="Arial" w:cs="Arial"/>
          <w:sz w:val="20"/>
          <w:szCs w:val="20"/>
        </w:rPr>
        <w:t>pour accueillir et or</w:t>
      </w:r>
      <w:r w:rsidR="007C2065">
        <w:rPr>
          <w:rFonts w:ascii="Arial" w:hAnsi="Arial" w:cs="Arial"/>
          <w:sz w:val="20"/>
          <w:szCs w:val="20"/>
        </w:rPr>
        <w:t>ienter les publics concernés</w:t>
      </w:r>
      <w:r w:rsidRPr="0023309D">
        <w:rPr>
          <w:rFonts w:ascii="Arial" w:hAnsi="Arial" w:cs="Arial"/>
          <w:sz w:val="20"/>
          <w:szCs w:val="20"/>
        </w:rPr>
        <w:t xml:space="preserve">, </w:t>
      </w:r>
      <w:r w:rsidR="0023309D" w:rsidRPr="0023309D">
        <w:rPr>
          <w:rFonts w:ascii="Arial" w:hAnsi="Arial" w:cs="Arial"/>
          <w:sz w:val="20"/>
          <w:szCs w:val="20"/>
        </w:rPr>
        <w:t xml:space="preserve">pour mieux repérer leurs </w:t>
      </w:r>
      <w:r w:rsidR="0023309D">
        <w:rPr>
          <w:rFonts w:ascii="Arial" w:hAnsi="Arial" w:cs="Arial"/>
          <w:sz w:val="20"/>
          <w:szCs w:val="20"/>
        </w:rPr>
        <w:t>problématiques</w:t>
      </w:r>
      <w:r w:rsidR="0023309D" w:rsidRPr="0023309D">
        <w:rPr>
          <w:rFonts w:ascii="Arial" w:hAnsi="Arial" w:cs="Arial"/>
          <w:sz w:val="20"/>
          <w:szCs w:val="20"/>
        </w:rPr>
        <w:t xml:space="preserve"> et assurer</w:t>
      </w:r>
      <w:r w:rsidR="007C2065">
        <w:rPr>
          <w:rFonts w:ascii="Arial" w:hAnsi="Arial" w:cs="Arial"/>
          <w:sz w:val="20"/>
          <w:szCs w:val="20"/>
        </w:rPr>
        <w:t>,</w:t>
      </w:r>
      <w:r w:rsidR="0023309D" w:rsidRPr="0023309D">
        <w:rPr>
          <w:rFonts w:ascii="Arial" w:hAnsi="Arial" w:cs="Arial"/>
          <w:sz w:val="20"/>
          <w:szCs w:val="20"/>
        </w:rPr>
        <w:t xml:space="preserve"> </w:t>
      </w:r>
      <w:proofErr w:type="spellStart"/>
      <w:r w:rsidR="0023309D" w:rsidRPr="0023309D">
        <w:rPr>
          <w:rFonts w:ascii="Arial" w:hAnsi="Arial" w:cs="Arial"/>
          <w:sz w:val="20"/>
          <w:szCs w:val="20"/>
        </w:rPr>
        <w:t>dés</w:t>
      </w:r>
      <w:proofErr w:type="spellEnd"/>
      <w:r w:rsidR="0023309D" w:rsidRPr="0023309D">
        <w:rPr>
          <w:rFonts w:ascii="Arial" w:hAnsi="Arial" w:cs="Arial"/>
          <w:sz w:val="20"/>
          <w:szCs w:val="20"/>
        </w:rPr>
        <w:t xml:space="preserve"> l’accueil</w:t>
      </w:r>
      <w:r w:rsidR="007C2065">
        <w:rPr>
          <w:rFonts w:ascii="Arial" w:hAnsi="Arial" w:cs="Arial"/>
          <w:sz w:val="20"/>
          <w:szCs w:val="20"/>
        </w:rPr>
        <w:t>,</w:t>
      </w:r>
      <w:r w:rsidR="0023309D" w:rsidRPr="0023309D">
        <w:rPr>
          <w:rFonts w:ascii="Arial" w:hAnsi="Arial" w:cs="Arial"/>
          <w:sz w:val="20"/>
          <w:szCs w:val="20"/>
        </w:rPr>
        <w:t xml:space="preserve"> une écoute à même de mieux décoder leurs demandes.</w:t>
      </w:r>
      <w:r w:rsidR="009244AE">
        <w:rPr>
          <w:rFonts w:ascii="Arial" w:hAnsi="Arial" w:cs="Arial"/>
          <w:sz w:val="20"/>
          <w:szCs w:val="20"/>
        </w:rPr>
        <w:t xml:space="preserve"> Ces </w:t>
      </w:r>
      <w:r w:rsidR="009244AE">
        <w:rPr>
          <w:rFonts w:ascii="Arial" w:hAnsi="Arial" w:cs="Arial"/>
          <w:sz w:val="20"/>
          <w:szCs w:val="20"/>
        </w:rPr>
        <w:lastRenderedPageBreak/>
        <w:t>formations pourront recourir à des prestataires extérieurs, mais devront faire intervenir les agents des PASS.</w:t>
      </w:r>
    </w:p>
    <w:p w:rsidR="000B7652" w:rsidRDefault="000B7652" w:rsidP="0023309D">
      <w:pPr>
        <w:autoSpaceDE w:val="0"/>
        <w:autoSpaceDN w:val="0"/>
        <w:adjustRightInd w:val="0"/>
        <w:spacing w:after="0" w:line="240" w:lineRule="auto"/>
        <w:jc w:val="both"/>
        <w:rPr>
          <w:rFonts w:ascii="Arial" w:hAnsi="Arial" w:cs="Arial"/>
          <w:sz w:val="20"/>
          <w:szCs w:val="20"/>
        </w:rPr>
      </w:pPr>
    </w:p>
    <w:p w:rsidR="009D3DB3" w:rsidRPr="009A2D22" w:rsidRDefault="009D3DB3" w:rsidP="009D3DB3">
      <w:pPr>
        <w:pStyle w:val="Paragraphedeliste"/>
        <w:numPr>
          <w:ilvl w:val="0"/>
          <w:numId w:val="3"/>
        </w:numPr>
        <w:autoSpaceDE w:val="0"/>
        <w:autoSpaceDN w:val="0"/>
        <w:adjustRightInd w:val="0"/>
        <w:spacing w:after="0" w:line="240" w:lineRule="auto"/>
        <w:rPr>
          <w:rFonts w:ascii="Arial" w:hAnsi="Arial" w:cs="Arial"/>
          <w:b/>
          <w:sz w:val="20"/>
          <w:szCs w:val="20"/>
        </w:rPr>
      </w:pPr>
      <w:r w:rsidRPr="009A2D22">
        <w:rPr>
          <w:rFonts w:ascii="Arial" w:hAnsi="Arial" w:cs="Arial"/>
          <w:b/>
          <w:sz w:val="20"/>
          <w:szCs w:val="20"/>
        </w:rPr>
        <w:t xml:space="preserve">Mise en œuvre, suivi et évaluation de protocoles portant sur </w:t>
      </w:r>
      <w:r w:rsidR="00E77B92" w:rsidRPr="009A2D22">
        <w:rPr>
          <w:rFonts w:ascii="Arial" w:hAnsi="Arial" w:cs="Arial"/>
          <w:b/>
          <w:sz w:val="20"/>
          <w:szCs w:val="20"/>
        </w:rPr>
        <w:t xml:space="preserve">le parcours de soins en cours ou </w:t>
      </w:r>
      <w:r w:rsidR="009A2D22" w:rsidRPr="009A2D22">
        <w:rPr>
          <w:rFonts w:ascii="Arial" w:hAnsi="Arial" w:cs="Arial"/>
          <w:b/>
          <w:sz w:val="20"/>
          <w:szCs w:val="20"/>
        </w:rPr>
        <w:t>à l’issue de soins délivrés à l’hôpital</w:t>
      </w:r>
    </w:p>
    <w:p w:rsidR="009D3DB3" w:rsidRPr="009A2D22" w:rsidRDefault="00EC65EC" w:rsidP="00EC65EC">
      <w:pPr>
        <w:autoSpaceDE w:val="0"/>
        <w:autoSpaceDN w:val="0"/>
        <w:adjustRightInd w:val="0"/>
        <w:spacing w:after="0" w:line="240" w:lineRule="auto"/>
        <w:ind w:left="360"/>
        <w:jc w:val="both"/>
        <w:rPr>
          <w:rFonts w:ascii="Arial" w:hAnsi="Arial" w:cs="Arial"/>
          <w:sz w:val="20"/>
          <w:szCs w:val="20"/>
        </w:rPr>
      </w:pPr>
      <w:r w:rsidRPr="009A2D22">
        <w:rPr>
          <w:rFonts w:ascii="Arial" w:hAnsi="Arial" w:cs="Arial"/>
          <w:sz w:val="20"/>
          <w:szCs w:val="20"/>
        </w:rPr>
        <w:t xml:space="preserve">Il s’agit ici à l’occasion d’un contact avec le système </w:t>
      </w:r>
      <w:r w:rsidR="008C24CD" w:rsidRPr="009A2D22">
        <w:rPr>
          <w:rFonts w:ascii="Arial" w:hAnsi="Arial" w:cs="Arial"/>
          <w:sz w:val="20"/>
          <w:szCs w:val="20"/>
        </w:rPr>
        <w:t xml:space="preserve">de </w:t>
      </w:r>
      <w:r w:rsidRPr="009A2D22">
        <w:rPr>
          <w:rFonts w:ascii="Arial" w:hAnsi="Arial" w:cs="Arial"/>
          <w:sz w:val="20"/>
          <w:szCs w:val="20"/>
        </w:rPr>
        <w:t xml:space="preserve">soins hospitaliers, soit </w:t>
      </w:r>
      <w:r w:rsidR="007B52F6" w:rsidRPr="009A2D22">
        <w:rPr>
          <w:rFonts w:ascii="Arial" w:hAnsi="Arial" w:cs="Arial"/>
          <w:sz w:val="20"/>
          <w:szCs w:val="20"/>
        </w:rPr>
        <w:t xml:space="preserve">aux </w:t>
      </w:r>
      <w:r w:rsidRPr="009A2D22">
        <w:rPr>
          <w:rFonts w:ascii="Arial" w:hAnsi="Arial" w:cs="Arial"/>
          <w:sz w:val="20"/>
          <w:szCs w:val="20"/>
        </w:rPr>
        <w:t>urgence</w:t>
      </w:r>
      <w:r w:rsidR="007B52F6" w:rsidRPr="009A2D22">
        <w:rPr>
          <w:rFonts w:ascii="Arial" w:hAnsi="Arial" w:cs="Arial"/>
          <w:sz w:val="20"/>
          <w:szCs w:val="20"/>
        </w:rPr>
        <w:t>s</w:t>
      </w:r>
      <w:r w:rsidRPr="009A2D22">
        <w:rPr>
          <w:rFonts w:ascii="Arial" w:hAnsi="Arial" w:cs="Arial"/>
          <w:sz w:val="20"/>
          <w:szCs w:val="20"/>
        </w:rPr>
        <w:t xml:space="preserve">, soit dans le cadre d’une hospitalisation complète, d’initier un parcours de soins pour les personnes sans abri ou en très grande vulnérabilité sociale. </w:t>
      </w:r>
    </w:p>
    <w:p w:rsidR="00EC65EC" w:rsidRPr="009A2D22" w:rsidRDefault="00EC65EC" w:rsidP="00EC65EC">
      <w:pPr>
        <w:autoSpaceDE w:val="0"/>
        <w:autoSpaceDN w:val="0"/>
        <w:adjustRightInd w:val="0"/>
        <w:spacing w:after="0" w:line="240" w:lineRule="auto"/>
        <w:ind w:left="360"/>
        <w:jc w:val="both"/>
        <w:rPr>
          <w:rFonts w:ascii="Arial" w:hAnsi="Arial" w:cs="Arial"/>
          <w:sz w:val="20"/>
          <w:szCs w:val="20"/>
        </w:rPr>
      </w:pPr>
      <w:r w:rsidRPr="009A2D22">
        <w:rPr>
          <w:rFonts w:ascii="Arial" w:hAnsi="Arial" w:cs="Arial"/>
          <w:sz w:val="20"/>
          <w:szCs w:val="20"/>
        </w:rPr>
        <w:t>Cela pourra prendre la forme de protocoles de collaboration interservices, associant également les acteurs sociaux (hébergements d’urgence, accueils de jour,</w:t>
      </w:r>
      <w:r w:rsidR="007B52F6" w:rsidRPr="009A2D22">
        <w:rPr>
          <w:rFonts w:ascii="Arial" w:hAnsi="Arial" w:cs="Arial"/>
          <w:sz w:val="20"/>
          <w:szCs w:val="20"/>
        </w:rPr>
        <w:t xml:space="preserve"> 115,</w:t>
      </w:r>
      <w:r w:rsidR="008C24CD" w:rsidRPr="009A2D22">
        <w:rPr>
          <w:rFonts w:ascii="Arial" w:hAnsi="Arial" w:cs="Arial"/>
          <w:sz w:val="20"/>
          <w:szCs w:val="20"/>
        </w:rPr>
        <w:t xml:space="preserve"> LHSS, LAM, </w:t>
      </w:r>
      <w:r w:rsidR="007B52F6" w:rsidRPr="009A2D22">
        <w:rPr>
          <w:rFonts w:ascii="Arial" w:hAnsi="Arial" w:cs="Arial"/>
          <w:sz w:val="20"/>
          <w:szCs w:val="20"/>
        </w:rPr>
        <w:t>…) et associatifs susceptibles d’être concernés. Ces procédures viseront en particulier à éviter le</w:t>
      </w:r>
      <w:r w:rsidR="0083450C" w:rsidRPr="009A2D22">
        <w:rPr>
          <w:rFonts w:ascii="Arial" w:hAnsi="Arial" w:cs="Arial"/>
          <w:sz w:val="20"/>
          <w:szCs w:val="20"/>
        </w:rPr>
        <w:t>s</w:t>
      </w:r>
      <w:r w:rsidR="007B52F6" w:rsidRPr="009A2D22">
        <w:rPr>
          <w:rFonts w:ascii="Arial" w:hAnsi="Arial" w:cs="Arial"/>
          <w:sz w:val="20"/>
          <w:szCs w:val="20"/>
        </w:rPr>
        <w:t xml:space="preserve"> recours itératif</w:t>
      </w:r>
      <w:r w:rsidR="0083450C" w:rsidRPr="009A2D22">
        <w:rPr>
          <w:rFonts w:ascii="Arial" w:hAnsi="Arial" w:cs="Arial"/>
          <w:sz w:val="20"/>
          <w:szCs w:val="20"/>
        </w:rPr>
        <w:t>s ou trop tardifs aux urgences.</w:t>
      </w:r>
      <w:r w:rsidR="009D3DB3" w:rsidRPr="009A2D22">
        <w:rPr>
          <w:rFonts w:ascii="Arial" w:hAnsi="Arial" w:cs="Arial"/>
          <w:sz w:val="20"/>
          <w:szCs w:val="20"/>
        </w:rPr>
        <w:t xml:space="preserve"> Elles viseront également à préparer les sorties </w:t>
      </w:r>
      <w:r w:rsidR="002814D5" w:rsidRPr="009A2D22">
        <w:rPr>
          <w:rFonts w:ascii="Arial" w:hAnsi="Arial" w:cs="Arial"/>
          <w:sz w:val="20"/>
          <w:szCs w:val="20"/>
        </w:rPr>
        <w:t>à l’issue de soins à l’hôpital</w:t>
      </w:r>
      <w:r w:rsidR="009D3DB3" w:rsidRPr="009A2D22">
        <w:rPr>
          <w:rFonts w:ascii="Arial" w:hAnsi="Arial" w:cs="Arial"/>
          <w:sz w:val="20"/>
          <w:szCs w:val="20"/>
        </w:rPr>
        <w:t xml:space="preserve"> pour éviter des situations renda</w:t>
      </w:r>
      <w:r w:rsidR="00E77B92" w:rsidRPr="009A2D22">
        <w:rPr>
          <w:rFonts w:ascii="Arial" w:hAnsi="Arial" w:cs="Arial"/>
          <w:sz w:val="20"/>
          <w:szCs w:val="20"/>
        </w:rPr>
        <w:t>nt impossible la mise en œuvre d</w:t>
      </w:r>
      <w:r w:rsidR="009D3DB3" w:rsidRPr="009A2D22">
        <w:rPr>
          <w:rFonts w:ascii="Arial" w:hAnsi="Arial" w:cs="Arial"/>
          <w:sz w:val="20"/>
          <w:szCs w:val="20"/>
        </w:rPr>
        <w:t>es traitements prescrits ou mettant en danger ces personnes.</w:t>
      </w:r>
    </w:p>
    <w:p w:rsidR="00CA7738" w:rsidRDefault="00CA7738" w:rsidP="00931BAE">
      <w:pPr>
        <w:autoSpaceDE w:val="0"/>
        <w:autoSpaceDN w:val="0"/>
        <w:adjustRightInd w:val="0"/>
        <w:spacing w:after="0" w:line="240" w:lineRule="auto"/>
        <w:rPr>
          <w:rFonts w:ascii="Arial" w:hAnsi="Arial" w:cs="Arial"/>
          <w:sz w:val="20"/>
          <w:szCs w:val="20"/>
        </w:rPr>
      </w:pPr>
    </w:p>
    <w:p w:rsidR="0070719A" w:rsidRPr="007C2065" w:rsidRDefault="0070719A" w:rsidP="0070719A">
      <w:pPr>
        <w:shd w:val="clear" w:color="auto" w:fill="99CC00"/>
        <w:autoSpaceDE w:val="0"/>
        <w:autoSpaceDN w:val="0"/>
        <w:adjustRightInd w:val="0"/>
        <w:spacing w:after="120"/>
        <w:jc w:val="both"/>
        <w:rPr>
          <w:rFonts w:ascii="Arial" w:eastAsia="Calibri" w:hAnsi="Arial" w:cs="Arial"/>
          <w:color w:val="7030A0"/>
          <w:sz w:val="20"/>
          <w:szCs w:val="20"/>
        </w:rPr>
      </w:pPr>
      <w:r>
        <w:rPr>
          <w:rFonts w:ascii="Arial" w:eastAsia="Calibri" w:hAnsi="Arial" w:cs="Arial"/>
          <w:b/>
          <w:bCs/>
          <w:color w:val="7030A0"/>
          <w:sz w:val="20"/>
          <w:szCs w:val="20"/>
        </w:rPr>
        <w:t>Concernant la présentation du projet</w:t>
      </w:r>
    </w:p>
    <w:p w:rsidR="000200A2" w:rsidRPr="007C2065" w:rsidRDefault="000200A2" w:rsidP="003006D0">
      <w:pPr>
        <w:autoSpaceDE w:val="0"/>
        <w:autoSpaceDN w:val="0"/>
        <w:adjustRightInd w:val="0"/>
        <w:spacing w:after="120" w:line="240" w:lineRule="auto"/>
        <w:jc w:val="both"/>
        <w:rPr>
          <w:rFonts w:ascii="Arial" w:eastAsia="Calibri" w:hAnsi="Arial" w:cs="Arial"/>
          <w:sz w:val="20"/>
        </w:rPr>
      </w:pPr>
      <w:r w:rsidRPr="007C2065">
        <w:rPr>
          <w:rFonts w:ascii="Arial" w:eastAsia="Calibri" w:hAnsi="Arial" w:cs="Arial"/>
          <w:b/>
          <w:color w:val="FF0000"/>
          <w:sz w:val="20"/>
        </w:rPr>
        <w:t>Les promoteurs de projets s'attacheront</w:t>
      </w:r>
      <w:r w:rsidRPr="007C2065">
        <w:rPr>
          <w:rFonts w:ascii="Arial" w:eastAsia="Calibri" w:hAnsi="Arial" w:cs="Arial"/>
          <w:sz w:val="20"/>
        </w:rPr>
        <w:t xml:space="preserve"> à exposer précisément et de façon argumentée la ou les problématiques visées, à formuler des objectifs clairs, réalistes et chiffrés en montrant la pertinence de ces objectifs au regard des problèmes mis en évidence. Ils devront décrire l'action qu'ils souhaitent</w:t>
      </w:r>
      <w:r w:rsidRPr="007C2065">
        <w:rPr>
          <w:rFonts w:ascii="Arial" w:eastAsia="Calibri" w:hAnsi="Arial" w:cs="Arial"/>
          <w:color w:val="FF0000"/>
          <w:sz w:val="20"/>
        </w:rPr>
        <w:t xml:space="preserve"> </w:t>
      </w:r>
      <w:r w:rsidRPr="007C2065">
        <w:rPr>
          <w:rFonts w:ascii="Arial" w:eastAsia="Calibri" w:hAnsi="Arial" w:cs="Arial"/>
          <w:sz w:val="20"/>
        </w:rPr>
        <w:t>mettre en œuvre et enfin présenter les indicateurs d'évaluation qu'ils ont retenus pour suivre l'évolution de leur projet en vue de pouvoir éventuellement le réajuster ou d'apprécier son efficacité.</w:t>
      </w:r>
    </w:p>
    <w:p w:rsidR="000200A2" w:rsidRPr="007C2065" w:rsidRDefault="000200A2" w:rsidP="003006D0">
      <w:pPr>
        <w:autoSpaceDE w:val="0"/>
        <w:autoSpaceDN w:val="0"/>
        <w:adjustRightInd w:val="0"/>
        <w:spacing w:after="120" w:line="240" w:lineRule="auto"/>
        <w:jc w:val="both"/>
        <w:rPr>
          <w:rFonts w:ascii="Arial" w:eastAsia="Calibri" w:hAnsi="Arial" w:cs="Arial"/>
          <w:sz w:val="20"/>
        </w:rPr>
      </w:pPr>
      <w:r w:rsidRPr="007C2065">
        <w:rPr>
          <w:rFonts w:ascii="Arial" w:eastAsia="Calibri" w:hAnsi="Arial" w:cs="Arial"/>
          <w:b/>
          <w:color w:val="FF0000"/>
          <w:sz w:val="20"/>
        </w:rPr>
        <w:t xml:space="preserve">Ils devront tout particulièrement mettre en évidence la nature du partenariat </w:t>
      </w:r>
      <w:r w:rsidRPr="007C2065">
        <w:rPr>
          <w:rFonts w:ascii="Arial" w:eastAsia="Calibri" w:hAnsi="Arial" w:cs="Arial"/>
          <w:sz w:val="20"/>
        </w:rPr>
        <w:t xml:space="preserve">sur lequel ils s'appuient pour mettre en œuvre leur action en détaillant ses modalités concrètes d'organisation, de répartition éventuelle des tâches,… </w:t>
      </w:r>
    </w:p>
    <w:p w:rsidR="000200A2" w:rsidRPr="007C2065" w:rsidRDefault="000200A2" w:rsidP="003006D0">
      <w:pPr>
        <w:tabs>
          <w:tab w:val="center" w:pos="360"/>
        </w:tabs>
        <w:spacing w:after="120" w:line="240" w:lineRule="auto"/>
        <w:jc w:val="both"/>
        <w:rPr>
          <w:rFonts w:ascii="Arial" w:eastAsia="Calibri" w:hAnsi="Arial" w:cs="Arial"/>
          <w:sz w:val="20"/>
        </w:rPr>
      </w:pPr>
      <w:r w:rsidRPr="007C2065">
        <w:rPr>
          <w:rFonts w:ascii="Arial" w:eastAsia="Calibri" w:hAnsi="Arial" w:cs="Arial"/>
          <w:b/>
          <w:color w:val="FF0000"/>
          <w:sz w:val="20"/>
        </w:rPr>
        <w:t>Les actions devront être menées au plus près des publics</w:t>
      </w:r>
      <w:r w:rsidRPr="007C2065">
        <w:rPr>
          <w:rFonts w:ascii="Arial" w:eastAsia="Calibri" w:hAnsi="Arial" w:cs="Arial"/>
          <w:sz w:val="20"/>
        </w:rPr>
        <w:t xml:space="preserve"> en utilisant les structures et services existants, les lieux d’accu</w:t>
      </w:r>
      <w:r w:rsidR="007C2065">
        <w:rPr>
          <w:rFonts w:ascii="Arial" w:eastAsia="Calibri" w:hAnsi="Arial" w:cs="Arial"/>
          <w:sz w:val="20"/>
        </w:rPr>
        <w:t>eil ou de vie des populations cibles (Accueils de jour</w:t>
      </w:r>
      <w:r w:rsidRPr="007C2065">
        <w:rPr>
          <w:rFonts w:ascii="Arial" w:eastAsia="Calibri" w:hAnsi="Arial" w:cs="Arial"/>
          <w:sz w:val="20"/>
        </w:rPr>
        <w:t xml:space="preserve">, </w:t>
      </w:r>
      <w:r w:rsidR="007C2065">
        <w:rPr>
          <w:rFonts w:ascii="Arial" w:eastAsia="Calibri" w:hAnsi="Arial" w:cs="Arial"/>
          <w:sz w:val="20"/>
        </w:rPr>
        <w:t xml:space="preserve">hébergements d’urgence, </w:t>
      </w:r>
      <w:r w:rsidRPr="007C2065">
        <w:rPr>
          <w:rFonts w:ascii="Arial" w:eastAsia="Calibri" w:hAnsi="Arial" w:cs="Arial"/>
          <w:sz w:val="20"/>
        </w:rPr>
        <w:t>CSAPA, CAARUD,</w:t>
      </w:r>
      <w:r w:rsidR="007C2065">
        <w:rPr>
          <w:rFonts w:ascii="Arial" w:eastAsia="Calibri" w:hAnsi="Arial" w:cs="Arial"/>
          <w:sz w:val="20"/>
        </w:rPr>
        <w:t xml:space="preserve"> CHRS, </w:t>
      </w:r>
      <w:r w:rsidRPr="007C2065">
        <w:rPr>
          <w:rFonts w:ascii="Arial" w:eastAsia="Calibri" w:hAnsi="Arial" w:cs="Arial"/>
          <w:sz w:val="20"/>
        </w:rPr>
        <w:t>LHSS, Foyers de travailleurs migrant</w:t>
      </w:r>
      <w:r w:rsidR="007C2065">
        <w:rPr>
          <w:rFonts w:ascii="Arial" w:eastAsia="Calibri" w:hAnsi="Arial" w:cs="Arial"/>
          <w:sz w:val="20"/>
        </w:rPr>
        <w:t>s, centres de santé, squats, associations…).</w:t>
      </w:r>
    </w:p>
    <w:p w:rsidR="00F8799E" w:rsidRPr="00D311D6" w:rsidRDefault="000200A2" w:rsidP="00D311D6">
      <w:pPr>
        <w:autoSpaceDE w:val="0"/>
        <w:autoSpaceDN w:val="0"/>
        <w:adjustRightInd w:val="0"/>
        <w:spacing w:after="240" w:line="240" w:lineRule="auto"/>
        <w:jc w:val="both"/>
        <w:rPr>
          <w:rFonts w:ascii="Arial" w:eastAsia="Calibri" w:hAnsi="Arial" w:cs="Arial"/>
          <w:sz w:val="20"/>
        </w:rPr>
      </w:pPr>
      <w:r w:rsidRPr="007C2065">
        <w:rPr>
          <w:rFonts w:ascii="Arial" w:eastAsia="Calibri" w:hAnsi="Arial" w:cs="Arial"/>
          <w:sz w:val="20"/>
        </w:rPr>
        <w:t xml:space="preserve">Les promoteurs s’attacheront à mettre en œuvre des actions permettant d’aller </w:t>
      </w:r>
      <w:proofErr w:type="spellStart"/>
      <w:r w:rsidRPr="007C2065">
        <w:rPr>
          <w:rFonts w:ascii="Arial" w:eastAsia="Calibri" w:hAnsi="Arial" w:cs="Arial"/>
          <w:sz w:val="20"/>
        </w:rPr>
        <w:t>au devant</w:t>
      </w:r>
      <w:proofErr w:type="spellEnd"/>
      <w:r w:rsidRPr="007C2065">
        <w:rPr>
          <w:rFonts w:ascii="Arial" w:eastAsia="Calibri" w:hAnsi="Arial" w:cs="Arial"/>
          <w:sz w:val="20"/>
        </w:rPr>
        <w:t xml:space="preserve"> des populations les plus éloignées du système de santé.</w:t>
      </w:r>
    </w:p>
    <w:p w:rsidR="00F8799E" w:rsidRPr="00D311D6" w:rsidRDefault="00D311D6" w:rsidP="00D311D6">
      <w:pPr>
        <w:autoSpaceDE w:val="0"/>
        <w:autoSpaceDN w:val="0"/>
        <w:adjustRightInd w:val="0"/>
        <w:spacing w:after="0" w:line="240" w:lineRule="auto"/>
        <w:jc w:val="center"/>
        <w:rPr>
          <w:rFonts w:ascii="Arial" w:hAnsi="Arial" w:cs="Arial"/>
          <w:sz w:val="20"/>
          <w:szCs w:val="20"/>
        </w:rPr>
      </w:pPr>
      <w:r w:rsidRPr="00D311D6">
        <w:rPr>
          <w:rFonts w:ascii="Arial" w:hAnsi="Arial" w:cs="Arial"/>
          <w:sz w:val="20"/>
          <w:szCs w:val="20"/>
        </w:rPr>
        <w:sym w:font="Wingdings" w:char="F0AB"/>
      </w:r>
      <w:r w:rsidRPr="00D311D6">
        <w:rPr>
          <w:rFonts w:ascii="Arial" w:hAnsi="Arial" w:cs="Arial"/>
          <w:sz w:val="20"/>
          <w:szCs w:val="20"/>
        </w:rPr>
        <w:sym w:font="Wingdings" w:char="F0AB"/>
      </w:r>
      <w:r w:rsidRPr="00D311D6">
        <w:rPr>
          <w:rFonts w:ascii="Arial" w:hAnsi="Arial" w:cs="Arial"/>
          <w:sz w:val="20"/>
          <w:szCs w:val="20"/>
        </w:rPr>
        <w:sym w:font="Wingdings" w:char="F0AB"/>
      </w:r>
    </w:p>
    <w:sectPr w:rsidR="00F8799E" w:rsidRPr="00D311D6" w:rsidSect="00E1363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31" w:rsidRDefault="00086531" w:rsidP="00F16885">
      <w:pPr>
        <w:spacing w:after="0" w:line="240" w:lineRule="auto"/>
      </w:pPr>
      <w:r>
        <w:separator/>
      </w:r>
    </w:p>
  </w:endnote>
  <w:endnote w:type="continuationSeparator" w:id="0">
    <w:p w:rsidR="00086531" w:rsidRDefault="00086531" w:rsidP="00F1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F6" w:rsidRDefault="007B52F6">
    <w:pPr>
      <w:pStyle w:val="Pieddepage"/>
    </w:pPr>
    <w:r>
      <w:rPr>
        <w:sz w:val="16"/>
      </w:rPr>
      <w:t xml:space="preserve">ARS PACA - DSPE – PPS </w:t>
    </w:r>
    <w:r>
      <w:rPr>
        <w:sz w:val="16"/>
      </w:rPr>
      <w:tab/>
    </w:r>
    <w:r w:rsidR="00DC3DFB">
      <w:rPr>
        <w:sz w:val="16"/>
      </w:rPr>
      <w:t>janvier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31" w:rsidRDefault="00086531" w:rsidP="00F16885">
      <w:pPr>
        <w:spacing w:after="0" w:line="240" w:lineRule="auto"/>
      </w:pPr>
      <w:r>
        <w:separator/>
      </w:r>
    </w:p>
  </w:footnote>
  <w:footnote w:type="continuationSeparator" w:id="0">
    <w:p w:rsidR="00086531" w:rsidRDefault="00086531" w:rsidP="00F16885">
      <w:pPr>
        <w:spacing w:after="0" w:line="240" w:lineRule="auto"/>
      </w:pPr>
      <w:r>
        <w:continuationSeparator/>
      </w:r>
    </w:p>
  </w:footnote>
  <w:footnote w:id="1">
    <w:p w:rsidR="007B52F6" w:rsidRPr="009A3213" w:rsidRDefault="007B52F6" w:rsidP="00EE685D">
      <w:pPr>
        <w:pStyle w:val="Notedebasdepage"/>
        <w:jc w:val="both"/>
        <w:rPr>
          <w:rFonts w:ascii="Arial" w:hAnsi="Arial" w:cs="Arial"/>
          <w:sz w:val="16"/>
          <w:szCs w:val="16"/>
        </w:rPr>
      </w:pPr>
      <w:r>
        <w:rPr>
          <w:rStyle w:val="Appelnotedebasdep"/>
        </w:rPr>
        <w:footnoteRef/>
      </w:r>
      <w:r>
        <w:t xml:space="preserve"> </w:t>
      </w:r>
      <w:proofErr w:type="spellStart"/>
      <w:r w:rsidRPr="009A3213">
        <w:rPr>
          <w:rFonts w:ascii="Arial" w:hAnsi="Arial" w:cs="Arial"/>
          <w:sz w:val="16"/>
          <w:szCs w:val="16"/>
        </w:rPr>
        <w:t>Farnarier</w:t>
      </w:r>
      <w:proofErr w:type="spellEnd"/>
      <w:r w:rsidRPr="009A3213">
        <w:rPr>
          <w:rFonts w:ascii="Arial" w:hAnsi="Arial" w:cs="Arial"/>
          <w:sz w:val="16"/>
          <w:szCs w:val="16"/>
        </w:rPr>
        <w:t xml:space="preserve"> C et al. </w:t>
      </w:r>
      <w:r>
        <w:rPr>
          <w:rFonts w:ascii="Arial" w:hAnsi="Arial" w:cs="Arial"/>
          <w:i/>
          <w:sz w:val="16"/>
          <w:szCs w:val="16"/>
        </w:rPr>
        <w:t>TREPSAM -</w:t>
      </w:r>
      <w:r w:rsidRPr="009A3213">
        <w:rPr>
          <w:rFonts w:ascii="Arial" w:hAnsi="Arial" w:cs="Arial"/>
          <w:i/>
          <w:sz w:val="16"/>
          <w:szCs w:val="16"/>
        </w:rPr>
        <w:t xml:space="preserve"> trajectoire de soins des personnes sans abri à Marseille</w:t>
      </w:r>
      <w:r w:rsidRPr="009A3213">
        <w:rPr>
          <w:rFonts w:ascii="Arial" w:hAnsi="Arial" w:cs="Arial"/>
          <w:sz w:val="16"/>
          <w:szCs w:val="16"/>
        </w:rPr>
        <w:t xml:space="preserve">. Rapport de recherche. UMI </w:t>
      </w:r>
      <w:r>
        <w:rPr>
          <w:rFonts w:ascii="Arial" w:hAnsi="Arial" w:cs="Arial"/>
          <w:sz w:val="16"/>
          <w:szCs w:val="16"/>
        </w:rPr>
        <w:t xml:space="preserve">CNRS n°3189, novembre 2014. </w:t>
      </w:r>
      <w:r w:rsidRPr="009A3213">
        <w:rPr>
          <w:rFonts w:ascii="Arial" w:hAnsi="Arial" w:cs="Arial"/>
          <w:sz w:val="16"/>
          <w:szCs w:val="16"/>
        </w:rPr>
        <w:t>p.</w:t>
      </w:r>
      <w:r>
        <w:rPr>
          <w:rFonts w:ascii="Arial" w:hAnsi="Arial" w:cs="Arial"/>
          <w:sz w:val="16"/>
          <w:szCs w:val="16"/>
        </w:rPr>
        <w:t xml:space="preserve"> 58</w:t>
      </w:r>
    </w:p>
  </w:footnote>
  <w:footnote w:id="2">
    <w:p w:rsidR="007B52F6" w:rsidRPr="00EE685D" w:rsidRDefault="007B52F6" w:rsidP="00EE685D">
      <w:pPr>
        <w:autoSpaceDE w:val="0"/>
        <w:autoSpaceDN w:val="0"/>
        <w:adjustRightInd w:val="0"/>
        <w:spacing w:after="0" w:line="240" w:lineRule="auto"/>
        <w:jc w:val="both"/>
        <w:rPr>
          <w:rFonts w:ascii="Arial" w:hAnsi="Arial" w:cs="Arial"/>
          <w:i/>
          <w:sz w:val="16"/>
          <w:szCs w:val="16"/>
        </w:rPr>
      </w:pPr>
      <w:r w:rsidRPr="008B7CB9">
        <w:rPr>
          <w:rStyle w:val="Appelnotedebasdep"/>
          <w:sz w:val="20"/>
          <w:szCs w:val="20"/>
        </w:rPr>
        <w:footnoteRef/>
      </w:r>
      <w:r w:rsidRPr="008B7CB9">
        <w:rPr>
          <w:rStyle w:val="Appelnotedebasdep"/>
          <w:sz w:val="20"/>
          <w:szCs w:val="20"/>
        </w:rPr>
        <w:t xml:space="preserve"> </w:t>
      </w:r>
      <w:r>
        <w:rPr>
          <w:rFonts w:ascii="Arial" w:hAnsi="Arial" w:cs="Arial"/>
          <w:sz w:val="16"/>
          <w:szCs w:val="16"/>
        </w:rPr>
        <w:t>Ibid</w:t>
      </w:r>
      <w:r w:rsidRPr="00EE685D">
        <w:rPr>
          <w:rFonts w:ascii="Arial" w:hAnsi="Arial" w:cs="Arial"/>
          <w:sz w:val="16"/>
          <w:szCs w:val="16"/>
        </w:rPr>
        <w:t>. « </w:t>
      </w:r>
      <w:r w:rsidRPr="00EE685D">
        <w:rPr>
          <w:rFonts w:ascii="Arial" w:hAnsi="Arial" w:cs="Arial"/>
          <w:i/>
          <w:sz w:val="16"/>
          <w:szCs w:val="16"/>
        </w:rPr>
        <w:t xml:space="preserve">Deux éléments semblent alors guider la quête de soins dentaires : </w:t>
      </w:r>
    </w:p>
    <w:p w:rsidR="007B52F6" w:rsidRPr="00EE685D" w:rsidRDefault="007B52F6" w:rsidP="00EE685D">
      <w:pPr>
        <w:pStyle w:val="Paragraphedeliste"/>
        <w:numPr>
          <w:ilvl w:val="0"/>
          <w:numId w:val="6"/>
        </w:numPr>
        <w:autoSpaceDE w:val="0"/>
        <w:autoSpaceDN w:val="0"/>
        <w:adjustRightInd w:val="0"/>
        <w:spacing w:after="0" w:line="240" w:lineRule="auto"/>
        <w:jc w:val="both"/>
        <w:rPr>
          <w:rFonts w:ascii="Arial" w:hAnsi="Arial" w:cs="Arial"/>
          <w:i/>
          <w:sz w:val="16"/>
          <w:szCs w:val="16"/>
        </w:rPr>
      </w:pPr>
      <w:r w:rsidRPr="00EE685D">
        <w:rPr>
          <w:rFonts w:ascii="Arial" w:hAnsi="Arial" w:cs="Arial"/>
          <w:i/>
          <w:sz w:val="16"/>
          <w:szCs w:val="16"/>
        </w:rPr>
        <w:t>La douleur, qui lorsqu’elle devient insupportable amène les personnes à prendre en compte le problème dans l’urgence</w:t>
      </w:r>
    </w:p>
    <w:p w:rsidR="007B52F6" w:rsidRPr="00EE685D" w:rsidRDefault="007B52F6" w:rsidP="00EE685D">
      <w:pPr>
        <w:pStyle w:val="Paragraphedeliste"/>
        <w:numPr>
          <w:ilvl w:val="0"/>
          <w:numId w:val="6"/>
        </w:numPr>
        <w:autoSpaceDE w:val="0"/>
        <w:autoSpaceDN w:val="0"/>
        <w:adjustRightInd w:val="0"/>
        <w:spacing w:after="0" w:line="240" w:lineRule="auto"/>
        <w:jc w:val="both"/>
        <w:rPr>
          <w:rFonts w:ascii="Arial" w:hAnsi="Arial" w:cs="Arial"/>
          <w:sz w:val="16"/>
          <w:szCs w:val="16"/>
        </w:rPr>
      </w:pPr>
      <w:r w:rsidRPr="00EE685D">
        <w:rPr>
          <w:rFonts w:ascii="Arial" w:hAnsi="Arial" w:cs="Arial"/>
          <w:i/>
          <w:sz w:val="16"/>
          <w:szCs w:val="16"/>
        </w:rPr>
        <w:t xml:space="preserve">la « pression sociale » : les dents sont une partie très visible du corps et leur absence est généralement associée soit à la vieillesse, soit au manque de soin de soi. Certains vivent alors de manière </w:t>
      </w:r>
      <w:proofErr w:type="spellStart"/>
      <w:r w:rsidRPr="00EE685D">
        <w:rPr>
          <w:rFonts w:ascii="Arial" w:hAnsi="Arial" w:cs="Arial"/>
          <w:i/>
          <w:sz w:val="16"/>
          <w:szCs w:val="16"/>
        </w:rPr>
        <w:t>stigmatisante</w:t>
      </w:r>
      <w:proofErr w:type="spellEnd"/>
      <w:r w:rsidRPr="00EE685D">
        <w:rPr>
          <w:rFonts w:ascii="Arial" w:hAnsi="Arial" w:cs="Arial"/>
          <w:i/>
          <w:sz w:val="16"/>
          <w:szCs w:val="16"/>
        </w:rPr>
        <w:t xml:space="preserve"> le fait de rester sans dent, notamment les jeunes qui prêtent une attention particulière à leur présentation. »</w:t>
      </w:r>
    </w:p>
  </w:footnote>
  <w:footnote w:id="3">
    <w:p w:rsidR="007B52F6" w:rsidRPr="00F16885" w:rsidRDefault="007B52F6" w:rsidP="001C5EAA">
      <w:pPr>
        <w:pStyle w:val="Notedebasdepage"/>
        <w:jc w:val="both"/>
        <w:rPr>
          <w:rFonts w:ascii="Arial" w:hAnsi="Arial" w:cs="Arial"/>
          <w:sz w:val="16"/>
          <w:szCs w:val="16"/>
        </w:rPr>
      </w:pPr>
      <w:r>
        <w:rPr>
          <w:rStyle w:val="Appelnotedebasdep"/>
        </w:rPr>
        <w:footnoteRef/>
      </w:r>
      <w:r>
        <w:t xml:space="preserve"> </w:t>
      </w:r>
      <w:r w:rsidRPr="00F16885">
        <w:rPr>
          <w:rFonts w:ascii="Arial" w:hAnsi="Arial" w:cs="Arial"/>
          <w:sz w:val="16"/>
          <w:szCs w:val="16"/>
        </w:rPr>
        <w:t>Brunet L.</w:t>
      </w:r>
      <w:r>
        <w:rPr>
          <w:rFonts w:ascii="Arial" w:hAnsi="Arial" w:cs="Arial"/>
          <w:sz w:val="16"/>
          <w:szCs w:val="16"/>
        </w:rPr>
        <w:t xml:space="preserve"> et al.</w:t>
      </w:r>
      <w:r w:rsidRPr="00F16885">
        <w:rPr>
          <w:rFonts w:ascii="Arial" w:hAnsi="Arial" w:cs="Arial"/>
          <w:sz w:val="16"/>
          <w:szCs w:val="16"/>
        </w:rPr>
        <w:t xml:space="preserve"> </w:t>
      </w:r>
      <w:r w:rsidRPr="00A32B70">
        <w:rPr>
          <w:rFonts w:ascii="Arial" w:hAnsi="Arial" w:cs="Arial"/>
          <w:i/>
          <w:sz w:val="16"/>
          <w:szCs w:val="16"/>
        </w:rPr>
        <w:t>Féminité, accès aux soins, maternité et risques vécus par les femmes en grande précarité – une contribution à l’amélioration de leur santé gynécologique</w:t>
      </w:r>
      <w:r w:rsidRPr="00F16885">
        <w:rPr>
          <w:rFonts w:ascii="Arial" w:hAnsi="Arial" w:cs="Arial"/>
          <w:sz w:val="16"/>
          <w:szCs w:val="16"/>
        </w:rPr>
        <w:t>. Rapport à la Direction Générale de la Santé. Observatoire du Samu social de Paris, juin 2005. 102 p.</w:t>
      </w:r>
    </w:p>
  </w:footnote>
  <w:footnote w:id="4">
    <w:p w:rsidR="007B52F6" w:rsidRPr="009B3CAB" w:rsidRDefault="007B52F6" w:rsidP="00294837">
      <w:pPr>
        <w:pStyle w:val="Notedebasdepage"/>
        <w:rPr>
          <w:rFonts w:ascii="Arial" w:hAnsi="Arial" w:cs="Arial"/>
          <w:sz w:val="16"/>
          <w:szCs w:val="16"/>
        </w:rPr>
      </w:pPr>
      <w:r>
        <w:rPr>
          <w:rStyle w:val="Appelnotedebasdep"/>
        </w:rPr>
        <w:footnoteRef/>
      </w:r>
      <w:r>
        <w:t xml:space="preserve"> </w:t>
      </w:r>
      <w:r w:rsidRPr="009B3CAB">
        <w:rPr>
          <w:rFonts w:ascii="Arial" w:hAnsi="Arial" w:cs="Arial"/>
          <w:sz w:val="16"/>
          <w:szCs w:val="16"/>
        </w:rPr>
        <w:t>Groupe de travail Santé et accès aux soins réuni dans le cadre de la préparation de la Conférence Nationale de lutte contre la pauvreté et pour l’inclusion sociale novembre 2012</w:t>
      </w:r>
    </w:p>
  </w:footnote>
  <w:footnote w:id="5">
    <w:p w:rsidR="007B52F6" w:rsidRDefault="007B52F6">
      <w:pPr>
        <w:pStyle w:val="Notedebasdepage"/>
      </w:pPr>
      <w:r>
        <w:rPr>
          <w:rStyle w:val="Appelnotedebasdep"/>
        </w:rPr>
        <w:footnoteRef/>
      </w:r>
      <w:r>
        <w:t xml:space="preserve"> </w:t>
      </w:r>
      <w:proofErr w:type="spellStart"/>
      <w:r w:rsidRPr="009A3213">
        <w:rPr>
          <w:rFonts w:ascii="Arial" w:hAnsi="Arial" w:cs="Arial"/>
          <w:sz w:val="16"/>
          <w:szCs w:val="16"/>
        </w:rPr>
        <w:t>Farnarier</w:t>
      </w:r>
      <w:proofErr w:type="spellEnd"/>
      <w:r w:rsidRPr="009A3213">
        <w:rPr>
          <w:rFonts w:ascii="Arial" w:hAnsi="Arial" w:cs="Arial"/>
          <w:sz w:val="16"/>
          <w:szCs w:val="16"/>
        </w:rPr>
        <w:t xml:space="preserve"> C</w:t>
      </w:r>
      <w:r>
        <w:rPr>
          <w:rFonts w:ascii="Arial" w:hAnsi="Arial" w:cs="Arial"/>
          <w:sz w:val="16"/>
          <w:szCs w:val="16"/>
        </w:rPr>
        <w:t xml:space="preserve">. op. </w:t>
      </w:r>
      <w:proofErr w:type="spellStart"/>
      <w:proofErr w:type="gramStart"/>
      <w:r>
        <w:rPr>
          <w:rFonts w:ascii="Arial" w:hAnsi="Arial" w:cs="Arial"/>
          <w:sz w:val="16"/>
          <w:szCs w:val="16"/>
        </w:rPr>
        <w:t>cit</w:t>
      </w:r>
      <w:proofErr w:type="spellEnd"/>
      <w:proofErr w:type="gramEnd"/>
      <w:r>
        <w:rPr>
          <w:rFonts w:ascii="Arial" w:hAnsi="Arial" w:cs="Arial"/>
          <w:sz w:val="16"/>
          <w:szCs w:val="16"/>
        </w:rPr>
        <w:t>. p.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F6" w:rsidRPr="00875FBF" w:rsidRDefault="007B52F6" w:rsidP="00385EC5">
    <w:pPr>
      <w:pStyle w:val="Titre7"/>
      <w:tabs>
        <w:tab w:val="center" w:pos="7088"/>
      </w:tabs>
      <w:rPr>
        <w:color w:val="002395"/>
        <w:sz w:val="16"/>
      </w:rPr>
    </w:pPr>
    <w:r w:rsidRPr="00385EC5">
      <w:rPr>
        <w:rFonts w:ascii="Bookman Old Style" w:hAnsi="Bookman Old Style"/>
        <w:b/>
        <w:noProof/>
        <w:color w:val="000080"/>
        <w:sz w:val="28"/>
        <w:szCs w:val="28"/>
      </w:rPr>
      <w:drawing>
        <wp:anchor distT="0" distB="0" distL="114300" distR="114300" simplePos="0" relativeHeight="251659264" behindDoc="1" locked="0" layoutInCell="1" allowOverlap="1" wp14:anchorId="07A9C3FF" wp14:editId="16D0B474">
          <wp:simplePos x="0" y="0"/>
          <wp:positionH relativeFrom="column">
            <wp:posOffset>-299085</wp:posOffset>
          </wp:positionH>
          <wp:positionV relativeFrom="paragraph">
            <wp:posOffset>-220980</wp:posOffset>
          </wp:positionV>
          <wp:extent cx="909955" cy="671830"/>
          <wp:effectExtent l="19050" t="0" r="4445" b="0"/>
          <wp:wrapTight wrapText="bothSides">
            <wp:wrapPolygon edited="0">
              <wp:start x="-452" y="0"/>
              <wp:lineTo x="-452" y="20824"/>
              <wp:lineTo x="21706" y="20824"/>
              <wp:lineTo x="21706" y="0"/>
              <wp:lineTo x="-452" y="0"/>
            </wp:wrapPolygon>
          </wp:wrapTight>
          <wp:docPr id="1" name="Image 32" descr="ars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sPaca"/>
                  <pic:cNvPicPr>
                    <a:picLocks noChangeAspect="1" noChangeArrowheads="1"/>
                  </pic:cNvPicPr>
                </pic:nvPicPr>
                <pic:blipFill>
                  <a:blip r:embed="rId1"/>
                  <a:srcRect/>
                  <a:stretch>
                    <a:fillRect/>
                  </a:stretch>
                </pic:blipFill>
                <pic:spPr bwMode="auto">
                  <a:xfrm>
                    <a:off x="0" y="0"/>
                    <a:ext cx="909955" cy="671830"/>
                  </a:xfrm>
                  <a:prstGeom prst="rect">
                    <a:avLst/>
                  </a:prstGeom>
                  <a:noFill/>
                  <a:ln w="9525">
                    <a:noFill/>
                    <a:miter lim="800000"/>
                    <a:headEnd/>
                    <a:tailEnd/>
                  </a:ln>
                </pic:spPr>
              </pic:pic>
            </a:graphicData>
          </a:graphic>
        </wp:anchor>
      </w:drawing>
    </w:r>
    <w:r w:rsidRPr="001D3099">
      <w:rPr>
        <w:rFonts w:ascii="Bookman Old Style" w:hAnsi="Bookman Old Style"/>
        <w:b/>
        <w:color w:val="000080"/>
        <w:sz w:val="28"/>
        <w:szCs w:val="28"/>
      </w:rPr>
      <w:t>SCHEMA REGIONAL de PREVENTION</w:t>
    </w:r>
  </w:p>
  <w:p w:rsidR="007B52F6" w:rsidRDefault="007B52F6" w:rsidP="00385EC5">
    <w:pPr>
      <w:pStyle w:val="En-tte"/>
    </w:pPr>
    <w:r>
      <w:rPr>
        <w:rFonts w:ascii="Bookman Old Style" w:hAnsi="Bookman Old Style"/>
        <w:b/>
        <w:color w:val="99CC00"/>
        <w:sz w:val="28"/>
        <w:szCs w:val="28"/>
      </w:rPr>
      <w:tab/>
      <w:t xml:space="preserve">Appel </w:t>
    </w:r>
    <w:r w:rsidR="009A2D22">
      <w:rPr>
        <w:rFonts w:ascii="Bookman Old Style" w:hAnsi="Bookman Old Style"/>
        <w:b/>
        <w:color w:val="99CC00"/>
        <w:sz w:val="28"/>
        <w:szCs w:val="28"/>
      </w:rPr>
      <w:t xml:space="preserve">à projets prévention </w:t>
    </w:r>
    <w:r w:rsidR="00DC3DFB">
      <w:rPr>
        <w:rFonts w:ascii="Bookman Old Style" w:hAnsi="Bookman Old Style"/>
        <w:b/>
        <w:color w:val="99CC00"/>
        <w:sz w:val="28"/>
        <w:szCs w:val="28"/>
      </w:rPr>
      <w:t>PASS - 2017</w:t>
    </w:r>
  </w:p>
  <w:p w:rsidR="007B52F6" w:rsidRDefault="007B52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C5E1887"/>
    <w:multiLevelType w:val="hybridMultilevel"/>
    <w:tmpl w:val="43184A5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
    <w:nsid w:val="120E5349"/>
    <w:multiLevelType w:val="hybridMultilevel"/>
    <w:tmpl w:val="082CF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A08D1"/>
    <w:multiLevelType w:val="hybridMultilevel"/>
    <w:tmpl w:val="D56AD938"/>
    <w:lvl w:ilvl="0" w:tplc="EDBE2046">
      <w:start w:val="1"/>
      <w:numFmt w:val="decimal"/>
      <w:lvlText w:val="%1."/>
      <w:lvlJc w:val="left"/>
      <w:pPr>
        <w:ind w:left="1080" w:hanging="360"/>
      </w:pPr>
      <w:rPr>
        <w:rFonts w:ascii="Arial" w:hAnsi="Arial" w:cs="Arial"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DA2906"/>
    <w:multiLevelType w:val="hybridMultilevel"/>
    <w:tmpl w:val="F7AC3D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613928"/>
    <w:multiLevelType w:val="hybridMultilevel"/>
    <w:tmpl w:val="7E923C40"/>
    <w:lvl w:ilvl="0" w:tplc="EDBE2046">
      <w:start w:val="1"/>
      <w:numFmt w:val="decimal"/>
      <w:lvlText w:val="%1."/>
      <w:lvlJc w:val="left"/>
      <w:pPr>
        <w:ind w:left="1080" w:hanging="360"/>
      </w:pPr>
      <w:rPr>
        <w:rFonts w:ascii="Arial" w:hAnsi="Arial" w:cs="Arial" w:hint="default"/>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06262F6"/>
    <w:multiLevelType w:val="hybridMultilevel"/>
    <w:tmpl w:val="FB14D2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9C372A"/>
    <w:multiLevelType w:val="hybridMultilevel"/>
    <w:tmpl w:val="0600A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346D44"/>
    <w:multiLevelType w:val="hybridMultilevel"/>
    <w:tmpl w:val="18E8E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B52EE4"/>
    <w:multiLevelType w:val="multilevel"/>
    <w:tmpl w:val="22CC38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B6C22"/>
    <w:multiLevelType w:val="hybridMultilevel"/>
    <w:tmpl w:val="9FD8CE78"/>
    <w:lvl w:ilvl="0" w:tplc="40FEC0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9"/>
  </w:num>
  <w:num w:numId="5">
    <w:abstractNumId w:val="5"/>
  </w:num>
  <w:num w:numId="6">
    <w:abstractNumId w:val="4"/>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BB"/>
    <w:rsid w:val="0001011A"/>
    <w:rsid w:val="000200A2"/>
    <w:rsid w:val="00045A8B"/>
    <w:rsid w:val="00051E5B"/>
    <w:rsid w:val="000779A2"/>
    <w:rsid w:val="00086531"/>
    <w:rsid w:val="000B7652"/>
    <w:rsid w:val="001313BA"/>
    <w:rsid w:val="00144788"/>
    <w:rsid w:val="00173A43"/>
    <w:rsid w:val="00176AC5"/>
    <w:rsid w:val="001844C4"/>
    <w:rsid w:val="001B3C33"/>
    <w:rsid w:val="001C4315"/>
    <w:rsid w:val="001C5EAA"/>
    <w:rsid w:val="00202F86"/>
    <w:rsid w:val="0023309D"/>
    <w:rsid w:val="00265E04"/>
    <w:rsid w:val="00274AA6"/>
    <w:rsid w:val="002814D5"/>
    <w:rsid w:val="00294837"/>
    <w:rsid w:val="002D34A8"/>
    <w:rsid w:val="003006D0"/>
    <w:rsid w:val="00316403"/>
    <w:rsid w:val="00344B14"/>
    <w:rsid w:val="0036495D"/>
    <w:rsid w:val="00385EC5"/>
    <w:rsid w:val="00397A67"/>
    <w:rsid w:val="003C3109"/>
    <w:rsid w:val="003D1631"/>
    <w:rsid w:val="003D421E"/>
    <w:rsid w:val="0043408C"/>
    <w:rsid w:val="0043573C"/>
    <w:rsid w:val="00453C2D"/>
    <w:rsid w:val="004E22B9"/>
    <w:rsid w:val="005A5E34"/>
    <w:rsid w:val="005B2BEE"/>
    <w:rsid w:val="005E5F14"/>
    <w:rsid w:val="00611B69"/>
    <w:rsid w:val="006406D6"/>
    <w:rsid w:val="006B3B3E"/>
    <w:rsid w:val="007029E9"/>
    <w:rsid w:val="0070719A"/>
    <w:rsid w:val="00731D3D"/>
    <w:rsid w:val="00765269"/>
    <w:rsid w:val="00770D91"/>
    <w:rsid w:val="00786484"/>
    <w:rsid w:val="00790C5E"/>
    <w:rsid w:val="007A4C23"/>
    <w:rsid w:val="007B52F6"/>
    <w:rsid w:val="007C2065"/>
    <w:rsid w:val="007F596C"/>
    <w:rsid w:val="0083450C"/>
    <w:rsid w:val="008452C7"/>
    <w:rsid w:val="00870D7E"/>
    <w:rsid w:val="008761C8"/>
    <w:rsid w:val="008835AA"/>
    <w:rsid w:val="008909EA"/>
    <w:rsid w:val="008B7CB9"/>
    <w:rsid w:val="008C08BB"/>
    <w:rsid w:val="008C24CD"/>
    <w:rsid w:val="008E3C66"/>
    <w:rsid w:val="009244AE"/>
    <w:rsid w:val="00931BAE"/>
    <w:rsid w:val="00935092"/>
    <w:rsid w:val="00940115"/>
    <w:rsid w:val="00961FB1"/>
    <w:rsid w:val="0096671D"/>
    <w:rsid w:val="00971A89"/>
    <w:rsid w:val="009A2D22"/>
    <w:rsid w:val="009A3213"/>
    <w:rsid w:val="009B3CAB"/>
    <w:rsid w:val="009B52E0"/>
    <w:rsid w:val="009B6312"/>
    <w:rsid w:val="009D3194"/>
    <w:rsid w:val="009D3DB3"/>
    <w:rsid w:val="009D4641"/>
    <w:rsid w:val="009E1AFF"/>
    <w:rsid w:val="00A2367C"/>
    <w:rsid w:val="00A32B70"/>
    <w:rsid w:val="00A46454"/>
    <w:rsid w:val="00A557E8"/>
    <w:rsid w:val="00A836B6"/>
    <w:rsid w:val="00A91950"/>
    <w:rsid w:val="00AA762B"/>
    <w:rsid w:val="00B144A9"/>
    <w:rsid w:val="00BC2BD8"/>
    <w:rsid w:val="00BE7AE7"/>
    <w:rsid w:val="00C57717"/>
    <w:rsid w:val="00C577B8"/>
    <w:rsid w:val="00C67886"/>
    <w:rsid w:val="00C7662E"/>
    <w:rsid w:val="00CA7738"/>
    <w:rsid w:val="00CD025F"/>
    <w:rsid w:val="00CF2BE2"/>
    <w:rsid w:val="00D149AB"/>
    <w:rsid w:val="00D311D6"/>
    <w:rsid w:val="00D77D11"/>
    <w:rsid w:val="00D84D35"/>
    <w:rsid w:val="00DB0DE5"/>
    <w:rsid w:val="00DC3DFB"/>
    <w:rsid w:val="00DD3DCE"/>
    <w:rsid w:val="00DD75BA"/>
    <w:rsid w:val="00E00D09"/>
    <w:rsid w:val="00E01D8D"/>
    <w:rsid w:val="00E1363B"/>
    <w:rsid w:val="00E3431E"/>
    <w:rsid w:val="00E62022"/>
    <w:rsid w:val="00E66C04"/>
    <w:rsid w:val="00E678DD"/>
    <w:rsid w:val="00E77B92"/>
    <w:rsid w:val="00E87B6D"/>
    <w:rsid w:val="00EC65EC"/>
    <w:rsid w:val="00EE685D"/>
    <w:rsid w:val="00F00557"/>
    <w:rsid w:val="00F02906"/>
    <w:rsid w:val="00F16885"/>
    <w:rsid w:val="00F25909"/>
    <w:rsid w:val="00F51C0A"/>
    <w:rsid w:val="00F658DB"/>
    <w:rsid w:val="00F8799E"/>
    <w:rsid w:val="00FF6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385EC5"/>
    <w:pPr>
      <w:keepNext/>
      <w:spacing w:after="0" w:line="240" w:lineRule="auto"/>
      <w:jc w:val="center"/>
      <w:outlineLvl w:val="6"/>
    </w:pPr>
    <w:rPr>
      <w:rFonts w:ascii="Arial" w:eastAsia="Times New Roman" w:hAnsi="Arial" w:cs="Times New Roman"/>
      <w:snapToGrid w:val="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C08B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qFormat/>
    <w:rsid w:val="001313BA"/>
    <w:pPr>
      <w:ind w:left="720"/>
      <w:contextualSpacing/>
    </w:pPr>
  </w:style>
  <w:style w:type="paragraph" w:styleId="Notedebasdepage">
    <w:name w:val="footnote text"/>
    <w:basedOn w:val="Normal"/>
    <w:link w:val="NotedebasdepageCar"/>
    <w:semiHidden/>
    <w:unhideWhenUsed/>
    <w:rsid w:val="00F168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6885"/>
    <w:rPr>
      <w:sz w:val="20"/>
      <w:szCs w:val="20"/>
    </w:rPr>
  </w:style>
  <w:style w:type="character" w:styleId="Appelnotedebasdep">
    <w:name w:val="footnote reference"/>
    <w:basedOn w:val="Policepardfaut"/>
    <w:semiHidden/>
    <w:unhideWhenUsed/>
    <w:rsid w:val="00F16885"/>
    <w:rPr>
      <w:vertAlign w:val="superscript"/>
    </w:rPr>
  </w:style>
  <w:style w:type="paragraph" w:customStyle="1" w:styleId="Sylvie">
    <w:name w:val="Sylvie"/>
    <w:basedOn w:val="Normal"/>
    <w:qFormat/>
    <w:rsid w:val="00397A67"/>
    <w:pPr>
      <w:spacing w:after="0" w:line="240" w:lineRule="auto"/>
    </w:pPr>
    <w:rPr>
      <w:rFonts w:ascii="Calibri" w:eastAsia="Times New Roman" w:hAnsi="Calibri" w:cs="Calibri"/>
      <w:color w:val="5B9BD5"/>
      <w:sz w:val="24"/>
      <w:szCs w:val="24"/>
    </w:rPr>
  </w:style>
  <w:style w:type="paragraph" w:styleId="Retraitcorpsdetexte">
    <w:name w:val="Body Text Indent"/>
    <w:basedOn w:val="Normal"/>
    <w:link w:val="RetraitcorpsdetexteCar"/>
    <w:rsid w:val="00F8799E"/>
    <w:pPr>
      <w:spacing w:after="0" w:line="240" w:lineRule="auto"/>
      <w:ind w:firstLine="708"/>
      <w:jc w:val="both"/>
    </w:pPr>
    <w:rPr>
      <w:rFonts w:ascii="Bookman Old Style" w:eastAsia="Times New Roman" w:hAnsi="Bookman Old Style" w:cs="Times New Roman"/>
      <w:sz w:val="32"/>
      <w:szCs w:val="32"/>
    </w:rPr>
  </w:style>
  <w:style w:type="character" w:customStyle="1" w:styleId="RetraitcorpsdetexteCar">
    <w:name w:val="Retrait corps de texte Car"/>
    <w:basedOn w:val="Policepardfaut"/>
    <w:link w:val="Retraitcorpsdetexte"/>
    <w:rsid w:val="00F8799E"/>
    <w:rPr>
      <w:rFonts w:ascii="Bookman Old Style" w:eastAsia="Times New Roman" w:hAnsi="Bookman Old Style" w:cs="Times New Roman"/>
      <w:sz w:val="32"/>
      <w:szCs w:val="32"/>
      <w:lang w:eastAsia="fr-FR"/>
    </w:rPr>
  </w:style>
  <w:style w:type="paragraph" w:styleId="En-tte">
    <w:name w:val="header"/>
    <w:basedOn w:val="Normal"/>
    <w:link w:val="En-tteCar"/>
    <w:uiPriority w:val="99"/>
    <w:unhideWhenUsed/>
    <w:rsid w:val="00385EC5"/>
    <w:pPr>
      <w:tabs>
        <w:tab w:val="center" w:pos="4536"/>
        <w:tab w:val="right" w:pos="9072"/>
      </w:tabs>
      <w:spacing w:after="0" w:line="240" w:lineRule="auto"/>
    </w:pPr>
  </w:style>
  <w:style w:type="character" w:customStyle="1" w:styleId="En-tteCar">
    <w:name w:val="En-tête Car"/>
    <w:basedOn w:val="Policepardfaut"/>
    <w:link w:val="En-tte"/>
    <w:uiPriority w:val="99"/>
    <w:rsid w:val="00385EC5"/>
  </w:style>
  <w:style w:type="paragraph" w:styleId="Pieddepage">
    <w:name w:val="footer"/>
    <w:basedOn w:val="Normal"/>
    <w:link w:val="PieddepageCar"/>
    <w:uiPriority w:val="99"/>
    <w:unhideWhenUsed/>
    <w:rsid w:val="00385E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EC5"/>
  </w:style>
  <w:style w:type="paragraph" w:styleId="Textedebulles">
    <w:name w:val="Balloon Text"/>
    <w:basedOn w:val="Normal"/>
    <w:link w:val="TextedebullesCar"/>
    <w:uiPriority w:val="99"/>
    <w:semiHidden/>
    <w:unhideWhenUsed/>
    <w:rsid w:val="00385E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EC5"/>
    <w:rPr>
      <w:rFonts w:ascii="Tahoma" w:hAnsi="Tahoma" w:cs="Tahoma"/>
      <w:sz w:val="16"/>
      <w:szCs w:val="16"/>
    </w:rPr>
  </w:style>
  <w:style w:type="character" w:customStyle="1" w:styleId="Titre7Car">
    <w:name w:val="Titre 7 Car"/>
    <w:basedOn w:val="Policepardfaut"/>
    <w:link w:val="Titre7"/>
    <w:rsid w:val="00385EC5"/>
    <w:rPr>
      <w:rFonts w:ascii="Arial" w:eastAsia="Times New Roman" w:hAnsi="Arial" w:cs="Times New Roman"/>
      <w:snapToGrid w:val="0"/>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385EC5"/>
    <w:pPr>
      <w:keepNext/>
      <w:spacing w:after="0" w:line="240" w:lineRule="auto"/>
      <w:jc w:val="center"/>
      <w:outlineLvl w:val="6"/>
    </w:pPr>
    <w:rPr>
      <w:rFonts w:ascii="Arial" w:eastAsia="Times New Roman" w:hAnsi="Arial" w:cs="Times New Roman"/>
      <w:snapToGrid w:val="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C08B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qFormat/>
    <w:rsid w:val="001313BA"/>
    <w:pPr>
      <w:ind w:left="720"/>
      <w:contextualSpacing/>
    </w:pPr>
  </w:style>
  <w:style w:type="paragraph" w:styleId="Notedebasdepage">
    <w:name w:val="footnote text"/>
    <w:basedOn w:val="Normal"/>
    <w:link w:val="NotedebasdepageCar"/>
    <w:semiHidden/>
    <w:unhideWhenUsed/>
    <w:rsid w:val="00F168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6885"/>
    <w:rPr>
      <w:sz w:val="20"/>
      <w:szCs w:val="20"/>
    </w:rPr>
  </w:style>
  <w:style w:type="character" w:styleId="Appelnotedebasdep">
    <w:name w:val="footnote reference"/>
    <w:basedOn w:val="Policepardfaut"/>
    <w:semiHidden/>
    <w:unhideWhenUsed/>
    <w:rsid w:val="00F16885"/>
    <w:rPr>
      <w:vertAlign w:val="superscript"/>
    </w:rPr>
  </w:style>
  <w:style w:type="paragraph" w:customStyle="1" w:styleId="Sylvie">
    <w:name w:val="Sylvie"/>
    <w:basedOn w:val="Normal"/>
    <w:qFormat/>
    <w:rsid w:val="00397A67"/>
    <w:pPr>
      <w:spacing w:after="0" w:line="240" w:lineRule="auto"/>
    </w:pPr>
    <w:rPr>
      <w:rFonts w:ascii="Calibri" w:eastAsia="Times New Roman" w:hAnsi="Calibri" w:cs="Calibri"/>
      <w:color w:val="5B9BD5"/>
      <w:sz w:val="24"/>
      <w:szCs w:val="24"/>
    </w:rPr>
  </w:style>
  <w:style w:type="paragraph" w:styleId="Retraitcorpsdetexte">
    <w:name w:val="Body Text Indent"/>
    <w:basedOn w:val="Normal"/>
    <w:link w:val="RetraitcorpsdetexteCar"/>
    <w:rsid w:val="00F8799E"/>
    <w:pPr>
      <w:spacing w:after="0" w:line="240" w:lineRule="auto"/>
      <w:ind w:firstLine="708"/>
      <w:jc w:val="both"/>
    </w:pPr>
    <w:rPr>
      <w:rFonts w:ascii="Bookman Old Style" w:eastAsia="Times New Roman" w:hAnsi="Bookman Old Style" w:cs="Times New Roman"/>
      <w:sz w:val="32"/>
      <w:szCs w:val="32"/>
    </w:rPr>
  </w:style>
  <w:style w:type="character" w:customStyle="1" w:styleId="RetraitcorpsdetexteCar">
    <w:name w:val="Retrait corps de texte Car"/>
    <w:basedOn w:val="Policepardfaut"/>
    <w:link w:val="Retraitcorpsdetexte"/>
    <w:rsid w:val="00F8799E"/>
    <w:rPr>
      <w:rFonts w:ascii="Bookman Old Style" w:eastAsia="Times New Roman" w:hAnsi="Bookman Old Style" w:cs="Times New Roman"/>
      <w:sz w:val="32"/>
      <w:szCs w:val="32"/>
      <w:lang w:eastAsia="fr-FR"/>
    </w:rPr>
  </w:style>
  <w:style w:type="paragraph" w:styleId="En-tte">
    <w:name w:val="header"/>
    <w:basedOn w:val="Normal"/>
    <w:link w:val="En-tteCar"/>
    <w:uiPriority w:val="99"/>
    <w:unhideWhenUsed/>
    <w:rsid w:val="00385EC5"/>
    <w:pPr>
      <w:tabs>
        <w:tab w:val="center" w:pos="4536"/>
        <w:tab w:val="right" w:pos="9072"/>
      </w:tabs>
      <w:spacing w:after="0" w:line="240" w:lineRule="auto"/>
    </w:pPr>
  </w:style>
  <w:style w:type="character" w:customStyle="1" w:styleId="En-tteCar">
    <w:name w:val="En-tête Car"/>
    <w:basedOn w:val="Policepardfaut"/>
    <w:link w:val="En-tte"/>
    <w:uiPriority w:val="99"/>
    <w:rsid w:val="00385EC5"/>
  </w:style>
  <w:style w:type="paragraph" w:styleId="Pieddepage">
    <w:name w:val="footer"/>
    <w:basedOn w:val="Normal"/>
    <w:link w:val="PieddepageCar"/>
    <w:uiPriority w:val="99"/>
    <w:unhideWhenUsed/>
    <w:rsid w:val="00385E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EC5"/>
  </w:style>
  <w:style w:type="paragraph" w:styleId="Textedebulles">
    <w:name w:val="Balloon Text"/>
    <w:basedOn w:val="Normal"/>
    <w:link w:val="TextedebullesCar"/>
    <w:uiPriority w:val="99"/>
    <w:semiHidden/>
    <w:unhideWhenUsed/>
    <w:rsid w:val="00385E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EC5"/>
    <w:rPr>
      <w:rFonts w:ascii="Tahoma" w:hAnsi="Tahoma" w:cs="Tahoma"/>
      <w:sz w:val="16"/>
      <w:szCs w:val="16"/>
    </w:rPr>
  </w:style>
  <w:style w:type="character" w:customStyle="1" w:styleId="Titre7Car">
    <w:name w:val="Titre 7 Car"/>
    <w:basedOn w:val="Policepardfaut"/>
    <w:link w:val="Titre7"/>
    <w:rsid w:val="00385EC5"/>
    <w:rPr>
      <w:rFonts w:ascii="Arial" w:eastAsia="Times New Roman" w:hAnsi="Arial" w:cs="Times New Roman"/>
      <w:snapToGrid w:val="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1260">
      <w:bodyDiv w:val="1"/>
      <w:marLeft w:val="0"/>
      <w:marRight w:val="0"/>
      <w:marTop w:val="0"/>
      <w:marBottom w:val="0"/>
      <w:divBdr>
        <w:top w:val="none" w:sz="0" w:space="0" w:color="auto"/>
        <w:left w:val="none" w:sz="0" w:space="0" w:color="auto"/>
        <w:bottom w:val="none" w:sz="0" w:space="0" w:color="auto"/>
        <w:right w:val="none" w:sz="0" w:space="0" w:color="auto"/>
      </w:divBdr>
      <w:divsChild>
        <w:div w:id="2127264655">
          <w:marLeft w:val="0"/>
          <w:marRight w:val="0"/>
          <w:marTop w:val="0"/>
          <w:marBottom w:val="0"/>
          <w:divBdr>
            <w:top w:val="none" w:sz="0" w:space="0" w:color="auto"/>
            <w:left w:val="none" w:sz="0" w:space="0" w:color="auto"/>
            <w:bottom w:val="none" w:sz="0" w:space="0" w:color="auto"/>
            <w:right w:val="none" w:sz="0" w:space="0" w:color="auto"/>
          </w:divBdr>
          <w:divsChild>
            <w:div w:id="2060321018">
              <w:marLeft w:val="0"/>
              <w:marRight w:val="0"/>
              <w:marTop w:val="0"/>
              <w:marBottom w:val="0"/>
              <w:divBdr>
                <w:top w:val="none" w:sz="0" w:space="0" w:color="auto"/>
                <w:left w:val="none" w:sz="0" w:space="0" w:color="auto"/>
                <w:bottom w:val="none" w:sz="0" w:space="0" w:color="auto"/>
                <w:right w:val="none" w:sz="0" w:space="0" w:color="auto"/>
              </w:divBdr>
              <w:divsChild>
                <w:div w:id="1506944076">
                  <w:marLeft w:val="0"/>
                  <w:marRight w:val="0"/>
                  <w:marTop w:val="0"/>
                  <w:marBottom w:val="0"/>
                  <w:divBdr>
                    <w:top w:val="none" w:sz="0" w:space="0" w:color="auto"/>
                    <w:left w:val="none" w:sz="0" w:space="0" w:color="auto"/>
                    <w:bottom w:val="none" w:sz="0" w:space="0" w:color="auto"/>
                    <w:right w:val="none" w:sz="0" w:space="0" w:color="auto"/>
                  </w:divBdr>
                  <w:divsChild>
                    <w:div w:id="1599945948">
                      <w:marLeft w:val="0"/>
                      <w:marRight w:val="0"/>
                      <w:marTop w:val="0"/>
                      <w:marBottom w:val="0"/>
                      <w:divBdr>
                        <w:top w:val="none" w:sz="0" w:space="0" w:color="auto"/>
                        <w:left w:val="none" w:sz="0" w:space="0" w:color="auto"/>
                        <w:bottom w:val="none" w:sz="0" w:space="0" w:color="auto"/>
                        <w:right w:val="none" w:sz="0" w:space="0" w:color="auto"/>
                      </w:divBdr>
                      <w:divsChild>
                        <w:div w:id="679741129">
                          <w:marLeft w:val="0"/>
                          <w:marRight w:val="0"/>
                          <w:marTop w:val="0"/>
                          <w:marBottom w:val="0"/>
                          <w:divBdr>
                            <w:top w:val="none" w:sz="0" w:space="0" w:color="auto"/>
                            <w:left w:val="none" w:sz="0" w:space="0" w:color="auto"/>
                            <w:bottom w:val="none" w:sz="0" w:space="0" w:color="auto"/>
                            <w:right w:val="none" w:sz="0" w:space="0" w:color="auto"/>
                          </w:divBdr>
                          <w:divsChild>
                            <w:div w:id="2113043442">
                              <w:marLeft w:val="0"/>
                              <w:marRight w:val="0"/>
                              <w:marTop w:val="0"/>
                              <w:marBottom w:val="0"/>
                              <w:divBdr>
                                <w:top w:val="none" w:sz="0" w:space="0" w:color="auto"/>
                                <w:left w:val="none" w:sz="0" w:space="0" w:color="auto"/>
                                <w:bottom w:val="none" w:sz="0" w:space="0" w:color="auto"/>
                                <w:right w:val="none" w:sz="0" w:space="0" w:color="auto"/>
                              </w:divBdr>
                              <w:divsChild>
                                <w:div w:id="885340501">
                                  <w:marLeft w:val="0"/>
                                  <w:marRight w:val="0"/>
                                  <w:marTop w:val="0"/>
                                  <w:marBottom w:val="0"/>
                                  <w:divBdr>
                                    <w:top w:val="none" w:sz="0" w:space="0" w:color="auto"/>
                                    <w:left w:val="none" w:sz="0" w:space="0" w:color="auto"/>
                                    <w:bottom w:val="none" w:sz="0" w:space="0" w:color="auto"/>
                                    <w:right w:val="none" w:sz="0" w:space="0" w:color="auto"/>
                                  </w:divBdr>
                                  <w:divsChild>
                                    <w:div w:id="202909023">
                                      <w:marLeft w:val="0"/>
                                      <w:marRight w:val="0"/>
                                      <w:marTop w:val="0"/>
                                      <w:marBottom w:val="0"/>
                                      <w:divBdr>
                                        <w:top w:val="none" w:sz="0" w:space="0" w:color="auto"/>
                                        <w:left w:val="none" w:sz="0" w:space="0" w:color="auto"/>
                                        <w:bottom w:val="none" w:sz="0" w:space="0" w:color="auto"/>
                                        <w:right w:val="none" w:sz="0" w:space="0" w:color="auto"/>
                                      </w:divBdr>
                                      <w:divsChild>
                                        <w:div w:id="1839150507">
                                          <w:marLeft w:val="0"/>
                                          <w:marRight w:val="0"/>
                                          <w:marTop w:val="0"/>
                                          <w:marBottom w:val="0"/>
                                          <w:divBdr>
                                            <w:top w:val="none" w:sz="0" w:space="0" w:color="auto"/>
                                            <w:left w:val="none" w:sz="0" w:space="0" w:color="auto"/>
                                            <w:bottom w:val="none" w:sz="0" w:space="0" w:color="auto"/>
                                            <w:right w:val="none" w:sz="0" w:space="0" w:color="auto"/>
                                          </w:divBdr>
                                          <w:divsChild>
                                            <w:div w:id="2104377081">
                                              <w:marLeft w:val="0"/>
                                              <w:marRight w:val="0"/>
                                              <w:marTop w:val="0"/>
                                              <w:marBottom w:val="0"/>
                                              <w:divBdr>
                                                <w:top w:val="none" w:sz="0" w:space="0" w:color="auto"/>
                                                <w:left w:val="none" w:sz="0" w:space="0" w:color="auto"/>
                                                <w:bottom w:val="none" w:sz="0" w:space="0" w:color="auto"/>
                                                <w:right w:val="none" w:sz="0" w:space="0" w:color="auto"/>
                                              </w:divBdr>
                                              <w:divsChild>
                                                <w:div w:id="310139049">
                                                  <w:marLeft w:val="0"/>
                                                  <w:marRight w:val="0"/>
                                                  <w:marTop w:val="0"/>
                                                  <w:marBottom w:val="0"/>
                                                  <w:divBdr>
                                                    <w:top w:val="none" w:sz="0" w:space="0" w:color="auto"/>
                                                    <w:left w:val="none" w:sz="0" w:space="0" w:color="auto"/>
                                                    <w:bottom w:val="none" w:sz="0" w:space="0" w:color="auto"/>
                                                    <w:right w:val="none" w:sz="0" w:space="0" w:color="auto"/>
                                                  </w:divBdr>
                                                  <w:divsChild>
                                                    <w:div w:id="1391809602">
                                                      <w:marLeft w:val="0"/>
                                                      <w:marRight w:val="0"/>
                                                      <w:marTop w:val="0"/>
                                                      <w:marBottom w:val="0"/>
                                                      <w:divBdr>
                                                        <w:top w:val="none" w:sz="0" w:space="0" w:color="auto"/>
                                                        <w:left w:val="none" w:sz="0" w:space="0" w:color="auto"/>
                                                        <w:bottom w:val="none" w:sz="0" w:space="0" w:color="auto"/>
                                                        <w:right w:val="none" w:sz="0" w:space="0" w:color="auto"/>
                                                      </w:divBdr>
                                                      <w:divsChild>
                                                        <w:div w:id="1754429567">
                                                          <w:marLeft w:val="0"/>
                                                          <w:marRight w:val="0"/>
                                                          <w:marTop w:val="0"/>
                                                          <w:marBottom w:val="0"/>
                                                          <w:divBdr>
                                                            <w:top w:val="none" w:sz="0" w:space="0" w:color="auto"/>
                                                            <w:left w:val="none" w:sz="0" w:space="0" w:color="auto"/>
                                                            <w:bottom w:val="none" w:sz="0" w:space="0" w:color="auto"/>
                                                            <w:right w:val="none" w:sz="0" w:space="0" w:color="auto"/>
                                                          </w:divBdr>
                                                          <w:divsChild>
                                                            <w:div w:id="532616890">
                                                              <w:marLeft w:val="0"/>
                                                              <w:marRight w:val="0"/>
                                                              <w:marTop w:val="0"/>
                                                              <w:marBottom w:val="0"/>
                                                              <w:divBdr>
                                                                <w:top w:val="none" w:sz="0" w:space="0" w:color="auto"/>
                                                                <w:left w:val="none" w:sz="0" w:space="0" w:color="auto"/>
                                                                <w:bottom w:val="none" w:sz="0" w:space="0" w:color="auto"/>
                                                                <w:right w:val="none" w:sz="0" w:space="0" w:color="auto"/>
                                                              </w:divBdr>
                                                              <w:divsChild>
                                                                <w:div w:id="772015769">
                                                                  <w:marLeft w:val="0"/>
                                                                  <w:marRight w:val="0"/>
                                                                  <w:marTop w:val="0"/>
                                                                  <w:marBottom w:val="0"/>
                                                                  <w:divBdr>
                                                                    <w:top w:val="none" w:sz="0" w:space="0" w:color="auto"/>
                                                                    <w:left w:val="none" w:sz="0" w:space="0" w:color="auto"/>
                                                                    <w:bottom w:val="none" w:sz="0" w:space="0" w:color="auto"/>
                                                                    <w:right w:val="none" w:sz="0" w:space="0" w:color="auto"/>
                                                                  </w:divBdr>
                                                                  <w:divsChild>
                                                                    <w:div w:id="14439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35114-815B-40D7-A115-7240E575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8745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2016-03-25T10:04:00Z</cp:lastPrinted>
  <dcterms:created xsi:type="dcterms:W3CDTF">2017-01-18T12:26:00Z</dcterms:created>
  <dcterms:modified xsi:type="dcterms:W3CDTF">2017-01-18T12:27:00Z</dcterms:modified>
</cp:coreProperties>
</file>