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1B" w:rsidRDefault="00C95AA1" w:rsidP="004D2D4A">
      <w:pPr>
        <w:jc w:val="both"/>
        <w:rPr>
          <w:rFonts w:ascii="Bookman Old Style" w:hAnsi="Bookman Old Style" w:cs="Arial"/>
          <w:b/>
          <w:color w:val="76923C" w:themeColor="accent3" w:themeShade="BF"/>
        </w:rPr>
      </w:pPr>
      <w:r w:rsidRPr="00727E0A">
        <w:rPr>
          <w:rFonts w:ascii="Bookman Old Style" w:hAnsi="Bookman Old Style"/>
          <w:noProof/>
        </w:rPr>
        <w:drawing>
          <wp:inline distT="0" distB="0" distL="0" distR="0" wp14:anchorId="4F037171" wp14:editId="5223E4E0">
            <wp:extent cx="1560830" cy="1238250"/>
            <wp:effectExtent l="0" t="0" r="0" b="0"/>
            <wp:docPr id="1" name="Image 1" descr="http://www.intranet.ars.sante.fr/fileadmin/private/PACA/S_organiser_au_quotidien/Creer_un_document/logos/Basse_definition/ar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ranet.ars.sante.fr/fileadmin/private/PACA/S_organiser_au_quotidien/Creer_un_document/logos/Basse_definition/ar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741" cy="123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AA1">
        <w:rPr>
          <w:rFonts w:ascii="Bookman Old Style" w:hAnsi="Bookman Old Style" w:cs="Arial"/>
          <w:b/>
          <w:color w:val="76923C" w:themeColor="accent3" w:themeShade="BF"/>
        </w:rPr>
        <w:t xml:space="preserve"> </w:t>
      </w:r>
    </w:p>
    <w:p w:rsidR="003E75BE" w:rsidRPr="002C531B" w:rsidRDefault="002C531B" w:rsidP="002C531B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Cahier des charges relatif à l’a</w:t>
      </w:r>
      <w:r w:rsidRPr="002C531B">
        <w:rPr>
          <w:rFonts w:ascii="Bookman Old Style" w:hAnsi="Bookman Old Style" w:cs="Arial"/>
          <w:b/>
        </w:rPr>
        <w:t xml:space="preserve">ppels à candidatures des </w:t>
      </w:r>
      <w:r w:rsidR="00C95AA1" w:rsidRPr="002C531B">
        <w:rPr>
          <w:rFonts w:ascii="Bookman Old Style" w:hAnsi="Bookman Old Style" w:cs="Arial"/>
          <w:b/>
        </w:rPr>
        <w:t>Assistants Spécialistes à Temps Partagé(ASTP)</w:t>
      </w:r>
      <w:r w:rsidRPr="002C531B">
        <w:rPr>
          <w:rFonts w:ascii="Bookman Old Style" w:hAnsi="Bookman Old Style" w:cs="Arial"/>
          <w:b/>
        </w:rPr>
        <w:t xml:space="preserve"> campagne 2023 </w:t>
      </w:r>
    </w:p>
    <w:p w:rsidR="00E9009F" w:rsidRPr="00E9009F" w:rsidRDefault="00E9009F" w:rsidP="004D2D4A">
      <w:pPr>
        <w:jc w:val="both"/>
        <w:rPr>
          <w:rFonts w:ascii="Bookman Old Style" w:hAnsi="Bookman Old Style" w:cs="Arial"/>
        </w:rPr>
      </w:pPr>
    </w:p>
    <w:p w:rsidR="00C95AA1" w:rsidRDefault="00C95AA1" w:rsidP="004D2D4A">
      <w:pPr>
        <w:jc w:val="both"/>
        <w:rPr>
          <w:rFonts w:ascii="Bookman Old Style" w:hAnsi="Bookman Old Style" w:cs="Arial"/>
          <w:sz w:val="20"/>
          <w:szCs w:val="20"/>
        </w:rPr>
      </w:pPr>
    </w:p>
    <w:p w:rsidR="005A47AA" w:rsidRPr="00E9009F" w:rsidRDefault="005A47AA" w:rsidP="004D2D4A">
      <w:pPr>
        <w:jc w:val="both"/>
        <w:rPr>
          <w:rFonts w:ascii="Bookman Old Style" w:hAnsi="Bookman Old Style" w:cs="Arial"/>
          <w:sz w:val="20"/>
          <w:szCs w:val="20"/>
        </w:rPr>
      </w:pPr>
    </w:p>
    <w:p w:rsidR="00C95AA1" w:rsidRPr="005A47AA" w:rsidRDefault="00C95AA1" w:rsidP="00C95AA1">
      <w:pPr>
        <w:rPr>
          <w:rFonts w:ascii="Bookman Old Style" w:eastAsia="Calibri" w:hAnsi="Bookman Old Style"/>
          <w:bCs/>
          <w:i/>
          <w:sz w:val="22"/>
          <w:szCs w:val="22"/>
          <w:lang w:eastAsia="en-US"/>
        </w:rPr>
      </w:pPr>
    </w:p>
    <w:p w:rsidR="00D10024" w:rsidRPr="002C1BC3" w:rsidRDefault="00CB7C33" w:rsidP="00C95AA1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</w:pPr>
      <w:r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Cadre de l’appel à candida</w:t>
      </w:r>
      <w:r w:rsidR="00E9009F"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tures</w:t>
      </w:r>
      <w:r w:rsidR="002C531B"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 xml:space="preserve"> </w:t>
      </w:r>
    </w:p>
    <w:p w:rsidR="00E9009F" w:rsidRPr="005A47AA" w:rsidRDefault="00E9009F" w:rsidP="00E9009F">
      <w:pPr>
        <w:pStyle w:val="Paragraphedeliste"/>
        <w:spacing w:after="200" w:line="276" w:lineRule="auto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</w:p>
    <w:p w:rsidR="00C86394" w:rsidRPr="005A47AA" w:rsidRDefault="00C86394" w:rsidP="00C86394">
      <w:pPr>
        <w:spacing w:after="200" w:line="276" w:lineRule="auto"/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L’agence régionale de santé Provence-Alpes-Côte d’Azur a fait des ressources humaines en santé une priorité.</w:t>
      </w:r>
    </w:p>
    <w:p w:rsidR="00C86394" w:rsidRPr="005A47AA" w:rsidRDefault="00B61BA5" w:rsidP="00C86394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Dans la continuité de la politique développée depuis 2019, l’ARS Paca lanc</w:t>
      </w:r>
      <w:r w:rsidR="00E9009F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e cet appel à candidatures 2023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pour permettre aux établissements de santé (publics et ESPIC) de recruter des assistants </w:t>
      </w:r>
      <w:r w:rsidR="00C86394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spécialistes à temps partagés (ASTP) entre 2 sites : </w:t>
      </w:r>
    </w:p>
    <w:p w:rsidR="00C86394" w:rsidRPr="005A47AA" w:rsidRDefault="00C86394" w:rsidP="00C86394">
      <w:pPr>
        <w:pStyle w:val="Paragraphedeliste"/>
        <w:numPr>
          <w:ilvl w:val="0"/>
          <w:numId w:val="31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Entre établissements de santé,</w:t>
      </w:r>
    </w:p>
    <w:p w:rsidR="00C86394" w:rsidRPr="005A47AA" w:rsidRDefault="00C86394" w:rsidP="00C86394">
      <w:pPr>
        <w:pStyle w:val="Paragraphedeliste"/>
        <w:numPr>
          <w:ilvl w:val="0"/>
          <w:numId w:val="31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Entre un établissement de santé et une structure ambulatoire (ville /hôpital),</w:t>
      </w:r>
    </w:p>
    <w:p w:rsidR="000945D3" w:rsidRPr="005A47AA" w:rsidRDefault="00C86394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Ce </w:t>
      </w:r>
      <w:r w:rsidR="002E317D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dispositif de soutien à la démographie médicale vient en complément du dispositif national « Bachelot » mis en place en 2010.</w:t>
      </w:r>
    </w:p>
    <w:p w:rsidR="00727E0A" w:rsidRPr="005A47AA" w:rsidRDefault="00040817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</w:t>
      </w:r>
      <w:r w:rsidR="00B059D5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e poste d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’assistant à temps partagé </w:t>
      </w:r>
      <w:r w:rsidR="00B059D5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correspond à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une activité de </w:t>
      </w:r>
      <w:r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2 ans.</w:t>
      </w:r>
    </w:p>
    <w:p w:rsidR="008F35CB" w:rsidRDefault="008F35CB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040817" w:rsidRPr="005A47AA" w:rsidRDefault="00B059D5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L’ASTP</w:t>
      </w:r>
      <w:r w:rsidR="00EF4285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040817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assure des missions cliniques mais également des activités pédagogiques, d’enseignement et de recherche.</w:t>
      </w:r>
    </w:p>
    <w:p w:rsidR="00E9009F" w:rsidRPr="005A47AA" w:rsidRDefault="00E9009F" w:rsidP="000945D3">
      <w:pPr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</w:p>
    <w:p w:rsidR="00040817" w:rsidRPr="005A47AA" w:rsidRDefault="00040817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Toutes les spécialités peuvent être </w:t>
      </w:r>
      <w:r w:rsidR="00715936"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concernées</w:t>
      </w:r>
      <w:r w:rsidR="00C86394"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, </w:t>
      </w:r>
      <w:r w:rsidR="00C86394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si elles répondent au projet médical partagé du territoire et s’inscrit dans un projet professionnel visant à renforcer les équipes professionnelles de la région</w:t>
      </w:r>
      <w:r w:rsidR="00235848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:rsidR="004E46A2" w:rsidRPr="005A47AA" w:rsidRDefault="004E46A2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4E46A2" w:rsidRPr="005A47AA" w:rsidRDefault="005E6F02" w:rsidP="004E46A2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Il s’agit de permettre</w:t>
      </w:r>
      <w:r w:rsidR="004E46A2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de créer des postes passerelles entre l’internat et l’installation </w:t>
      </w:r>
      <w:r w:rsidR="00B059D5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en libéral </w:t>
      </w:r>
      <w:r w:rsidR="004E46A2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ou le recrutement en établissement hospitalier.</w:t>
      </w:r>
    </w:p>
    <w:p w:rsidR="004E46A2" w:rsidRPr="005A47AA" w:rsidRDefault="004E46A2" w:rsidP="004E46A2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Les objectifs du dispositif sont :</w:t>
      </w:r>
    </w:p>
    <w:p w:rsidR="00D10024" w:rsidRPr="005A47AA" w:rsidRDefault="00D10024" w:rsidP="00D10024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De consolider les équipes médicales des établissements et territoires en difficulté de recrutement</w:t>
      </w:r>
    </w:p>
    <w:p w:rsidR="00C86394" w:rsidRPr="005A47AA" w:rsidRDefault="00C86394" w:rsidP="00C86394">
      <w:pPr>
        <w:pStyle w:val="Paragraphedeliste"/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D10024" w:rsidRPr="005A47AA" w:rsidRDefault="00D10024" w:rsidP="00D10024">
      <w:pPr>
        <w:pStyle w:val="Paragraphedeliste"/>
        <w:numPr>
          <w:ilvl w:val="0"/>
          <w:numId w:val="16"/>
        </w:numPr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De favoriser l’exercice hors CHU et à terme de faciliter l’installation des médecins en périphérie.</w:t>
      </w:r>
    </w:p>
    <w:p w:rsidR="00D10024" w:rsidRPr="005A47AA" w:rsidRDefault="00D10024" w:rsidP="00D10024">
      <w:pPr>
        <w:pStyle w:val="Paragraphedeliste"/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D10024" w:rsidRPr="005A47AA" w:rsidRDefault="004E46A2" w:rsidP="004E46A2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De soutenir les projets professionnels en permettant à de jeunes médecins de parfaire leur formation post internat</w:t>
      </w:r>
      <w:r w:rsidR="00D10024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</w:p>
    <w:p w:rsidR="00D10024" w:rsidRPr="005A47AA" w:rsidRDefault="00D10024" w:rsidP="00D10024">
      <w:pPr>
        <w:pStyle w:val="Paragraphedeliste"/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D10024" w:rsidRPr="005A47AA" w:rsidRDefault="00D10024" w:rsidP="00D10024">
      <w:pPr>
        <w:pStyle w:val="Paragraphedeliste"/>
        <w:numPr>
          <w:ilvl w:val="0"/>
          <w:numId w:val="16"/>
        </w:numPr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lastRenderedPageBreak/>
        <w:t>De permettre aux jeunes médecins de participer à l’encadrement d’internes et étudiants en santé.</w:t>
      </w:r>
    </w:p>
    <w:p w:rsidR="00D10024" w:rsidRPr="005A47AA" w:rsidRDefault="00D10024" w:rsidP="00D10024">
      <w:pPr>
        <w:pStyle w:val="Paragraphedeliste"/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5A47AA" w:rsidRPr="005A47AA" w:rsidRDefault="004E46A2" w:rsidP="005A47AA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De favoriser la coopération entre établissements</w:t>
      </w:r>
      <w:r w:rsidR="00D10024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ou mettre en place des projets médicaux partagés, notamment au sein d’u</w:t>
      </w:r>
      <w:r w:rsidR="00DA50BC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n GHT,</w:t>
      </w:r>
      <w:r w:rsidR="00D10024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le CHU</w:t>
      </w:r>
      <w:r w:rsidR="00DA50BC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…</w:t>
      </w:r>
      <w:r w:rsidR="00D10024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, afin de garantir la gradation des soins</w:t>
      </w:r>
      <w:r w:rsidR="00DA50BC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hospitaliers et contribuer au développement des stratégies médicales et soignantes de territoire. </w:t>
      </w:r>
    </w:p>
    <w:p w:rsidR="0068674A" w:rsidRDefault="005A47AA" w:rsidP="0068674A">
      <w:pPr>
        <w:spacing w:after="200" w:line="276" w:lineRule="auto"/>
        <w:jc w:val="both"/>
        <w:rPr>
          <w:rFonts w:ascii="Bookman Old Style" w:eastAsia="Calibri" w:hAnsi="Bookman Old Style"/>
          <w:bCs/>
          <w:i/>
          <w:color w:val="00B050"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i/>
          <w:color w:val="00B050"/>
          <w:sz w:val="22"/>
          <w:szCs w:val="22"/>
          <w:lang w:eastAsia="en-US"/>
        </w:rPr>
        <w:t xml:space="preserve">NB : en accord avec la faculté de Médecine de Marseille : </w:t>
      </w:r>
    </w:p>
    <w:p w:rsidR="005A47AA" w:rsidRPr="0068674A" w:rsidRDefault="005A47AA" w:rsidP="0068674A">
      <w:pPr>
        <w:pStyle w:val="Paragraphedeliste"/>
        <w:numPr>
          <w:ilvl w:val="0"/>
          <w:numId w:val="30"/>
        </w:numPr>
        <w:spacing w:after="200" w:line="276" w:lineRule="auto"/>
        <w:jc w:val="both"/>
        <w:rPr>
          <w:rFonts w:ascii="Bookman Old Style" w:eastAsia="Calibri" w:hAnsi="Bookman Old Style"/>
          <w:bCs/>
          <w:i/>
          <w:color w:val="00B050"/>
          <w:sz w:val="22"/>
          <w:szCs w:val="22"/>
          <w:lang w:eastAsia="en-US"/>
        </w:rPr>
      </w:pPr>
      <w:r w:rsidRPr="0068674A">
        <w:rPr>
          <w:rFonts w:ascii="Bookman Old Style" w:eastAsia="Calibri" w:hAnsi="Bookman Old Style"/>
          <w:bCs/>
          <w:i/>
          <w:color w:val="00B050"/>
          <w:sz w:val="22"/>
          <w:szCs w:val="22"/>
          <w:lang w:eastAsia="en-US"/>
        </w:rPr>
        <w:t>Les candidats au dispositif des ASTP ne pourront concourir à un poste de chef de clinique assistant (CCA)</w:t>
      </w:r>
    </w:p>
    <w:p w:rsidR="005A47AA" w:rsidRPr="005A47AA" w:rsidRDefault="005A47AA" w:rsidP="005A47AA">
      <w:pPr>
        <w:pStyle w:val="Paragraphedeliste"/>
        <w:numPr>
          <w:ilvl w:val="0"/>
          <w:numId w:val="30"/>
        </w:numPr>
        <w:spacing w:after="200" w:line="276" w:lineRule="auto"/>
        <w:jc w:val="both"/>
        <w:rPr>
          <w:rFonts w:ascii="Bookman Old Style" w:eastAsia="Calibri" w:hAnsi="Bookman Old Style"/>
          <w:bCs/>
          <w:i/>
          <w:color w:val="00B050"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i/>
          <w:color w:val="00B050"/>
          <w:sz w:val="22"/>
          <w:szCs w:val="22"/>
          <w:lang w:eastAsia="en-US"/>
        </w:rPr>
        <w:t>Les ASTP retenus pour la promotion 20232-2025 ne verront pas leur candidature de CCA instruite durant les 2 années de contrat.</w:t>
      </w:r>
    </w:p>
    <w:p w:rsidR="005A47AA" w:rsidRPr="005A47AA" w:rsidRDefault="005A47AA" w:rsidP="005A47AA">
      <w:pPr>
        <w:pStyle w:val="Paragraphedeliste"/>
        <w:spacing w:after="200" w:line="276" w:lineRule="auto"/>
        <w:jc w:val="both"/>
        <w:rPr>
          <w:rFonts w:ascii="Bookman Old Style" w:eastAsia="Calibri" w:hAnsi="Bookman Old Style"/>
          <w:bCs/>
          <w:i/>
          <w:color w:val="FF0000"/>
          <w:sz w:val="22"/>
          <w:szCs w:val="22"/>
          <w:lang w:eastAsia="en-US"/>
        </w:rPr>
      </w:pPr>
    </w:p>
    <w:p w:rsidR="00DA50BC" w:rsidRPr="005A47AA" w:rsidRDefault="00DA50BC" w:rsidP="00DA50BC">
      <w:pPr>
        <w:pStyle w:val="Paragraphedeliste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B059D5" w:rsidRPr="002C1BC3" w:rsidRDefault="00273173" w:rsidP="0068674A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</w:pPr>
      <w:r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Disposition</w:t>
      </w:r>
      <w:r w:rsidR="002C531B"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s</w:t>
      </w:r>
      <w:r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 xml:space="preserve"> réglementaires</w:t>
      </w:r>
    </w:p>
    <w:p w:rsidR="00B059D5" w:rsidRPr="005A47AA" w:rsidRDefault="00B059D5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B059D5" w:rsidRPr="005A47AA" w:rsidRDefault="00B059D5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273173" w:rsidRPr="005A47AA" w:rsidRDefault="00273173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Le statut d’assistant des hôpitaux (articles R6152-501 et suivants du CSP) prévoit que ce praticien ne peut être recruté que par un établissement public de santé (dit établissement recruteur).</w:t>
      </w:r>
      <w:r w:rsidR="002C531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La demande devra être déposée uniquement par un établissement public</w:t>
      </w:r>
    </w:p>
    <w:p w:rsidR="00273173" w:rsidRPr="005A47AA" w:rsidRDefault="00273173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273173" w:rsidRPr="005A47AA" w:rsidRDefault="00273173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Le dispositif des ASTP bénéficie à 2 structures partenaires sur un projet médical partagé, l’établissement partenaire pouvant être :</w:t>
      </w:r>
    </w:p>
    <w:p w:rsidR="00273173" w:rsidRPr="005A47AA" w:rsidRDefault="00273173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273173" w:rsidRPr="005A47AA" w:rsidRDefault="00273173" w:rsidP="00273173">
      <w:pPr>
        <w:pStyle w:val="Paragraphedeliste"/>
        <w:numPr>
          <w:ilvl w:val="0"/>
          <w:numId w:val="32"/>
        </w:num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Centre hospitalier</w:t>
      </w:r>
    </w:p>
    <w:p w:rsidR="00273173" w:rsidRPr="005A47AA" w:rsidRDefault="00273173" w:rsidP="00273173">
      <w:pPr>
        <w:pStyle w:val="Paragraphedeliste"/>
        <w:numPr>
          <w:ilvl w:val="0"/>
          <w:numId w:val="32"/>
        </w:num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Centre hospitalier universitaire</w:t>
      </w:r>
    </w:p>
    <w:p w:rsidR="00273173" w:rsidRPr="005A47AA" w:rsidRDefault="00273173" w:rsidP="00273173">
      <w:pPr>
        <w:pStyle w:val="Paragraphedeliste"/>
        <w:numPr>
          <w:ilvl w:val="0"/>
          <w:numId w:val="32"/>
        </w:num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Etablissement de santé privé d’intérêt collectif (ESPIC)</w:t>
      </w:r>
    </w:p>
    <w:p w:rsidR="0040308C" w:rsidRPr="005A47AA" w:rsidRDefault="0040308C" w:rsidP="00273173">
      <w:pPr>
        <w:pStyle w:val="Paragraphedeliste"/>
        <w:numPr>
          <w:ilvl w:val="0"/>
          <w:numId w:val="32"/>
        </w:num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Protection maternelle et infantile (PMI)</w:t>
      </w:r>
    </w:p>
    <w:p w:rsidR="00273173" w:rsidRPr="005A47AA" w:rsidRDefault="00273173" w:rsidP="00273173">
      <w:pPr>
        <w:pStyle w:val="Paragraphedeliste"/>
        <w:numPr>
          <w:ilvl w:val="0"/>
          <w:numId w:val="32"/>
        </w:num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Une structure ambulatoire</w:t>
      </w:r>
      <w:r w:rsidR="0040308C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située de préférence dans une zone d’intervention prioritaire (ZIP) ou une zone d’action complémentaires (ZAC), quartiers politique de la ville (QPV). Les structures ambulatoires possibles sont les : maisons de santé pluri-professionnelle (MSP), les centres de santé et les cabinets libéraux.</w:t>
      </w:r>
    </w:p>
    <w:p w:rsidR="0040308C" w:rsidRPr="005A47AA" w:rsidRDefault="0040308C" w:rsidP="0040308C">
      <w:pPr>
        <w:pStyle w:val="Paragraphedeliste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40308C" w:rsidRPr="005A47AA" w:rsidRDefault="0040308C" w:rsidP="0040308C">
      <w:pPr>
        <w:pStyle w:val="Paragraphedeliste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6A508C" w:rsidRPr="005A47AA" w:rsidRDefault="006A508C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Les </w:t>
      </w:r>
      <w:r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assistants à temps partagé entre structures ambulatoires et établissements de santé 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d</w:t>
      </w:r>
      <w:r w:rsidR="00E9009F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oivent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permettre de renforcer l’accès territorial aux soins.</w:t>
      </w:r>
      <w:r w:rsidR="00B059D5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 </w:t>
      </w:r>
    </w:p>
    <w:p w:rsidR="004E46A2" w:rsidRPr="005A47AA" w:rsidRDefault="004E46A2" w:rsidP="000945D3">
      <w:pPr>
        <w:jc w:val="both"/>
        <w:rPr>
          <w:rFonts w:ascii="Bookman Old Style" w:eastAsia="Calibri" w:hAnsi="Bookman Old Style"/>
          <w:bCs/>
          <w:i/>
          <w:sz w:val="22"/>
          <w:szCs w:val="22"/>
          <w:lang w:eastAsia="en-US"/>
        </w:rPr>
      </w:pPr>
    </w:p>
    <w:p w:rsidR="004E46A2" w:rsidRPr="005A47AA" w:rsidRDefault="00B059D5" w:rsidP="000945D3">
      <w:pPr>
        <w:jc w:val="both"/>
        <w:rPr>
          <w:rFonts w:ascii="Bookman Old Style" w:eastAsia="Calibri" w:hAnsi="Bookman Old Style"/>
          <w:bCs/>
          <w:i/>
          <w:color w:val="000000" w:themeColor="text1"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i/>
          <w:color w:val="000000" w:themeColor="text1"/>
          <w:sz w:val="22"/>
          <w:szCs w:val="22"/>
          <w:lang w:eastAsia="en-US"/>
        </w:rPr>
        <w:t>Votre attention est appelée sur le mode de facturation particulier des consultations ambulatoires réalisées par l’assistant ville/hôpital</w:t>
      </w:r>
      <w:r w:rsidR="005D62EC" w:rsidRPr="005A47AA">
        <w:rPr>
          <w:rFonts w:ascii="Bookman Old Style" w:eastAsia="Calibri" w:hAnsi="Bookman Old Style"/>
          <w:bCs/>
          <w:i/>
          <w:color w:val="000000" w:themeColor="text1"/>
          <w:sz w:val="22"/>
          <w:szCs w:val="22"/>
          <w:lang w:eastAsia="en-US"/>
        </w:rPr>
        <w:t xml:space="preserve">. </w:t>
      </w:r>
    </w:p>
    <w:p w:rsidR="00727E0A" w:rsidRPr="005A47AA" w:rsidRDefault="00D13EF3" w:rsidP="000945D3">
      <w:pPr>
        <w:jc w:val="both"/>
        <w:rPr>
          <w:rFonts w:ascii="Bookman Old Style" w:eastAsia="Calibri" w:hAnsi="Bookman Old Style"/>
          <w:bCs/>
          <w:i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>L</w:t>
      </w:r>
      <w:r w:rsidR="000C7E58"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>’activité réalisée au sein de la structure ambulatoire est considérée comme une délocalisation de l’activité hospitalière : la structure ambulatoire ne perçoit pas d’honoraires, l’acte est considéré comme une consultation externe de l’hôpital</w:t>
      </w:r>
      <w:r w:rsidR="00453E34"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>. Et le</w:t>
      </w:r>
      <w:r w:rsidR="000C7E58"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 xml:space="preserve"> </w:t>
      </w:r>
      <w:r w:rsidR="000945D3"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>paiement</w:t>
      </w:r>
      <w:r w:rsidR="000C7E58"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 xml:space="preserve"> par le patient de son reste à payer se fait en différé après tiers payant sur la facture assurance maladie obligatoire, et le cas échéant tiers payant assurance maladie complémentaire, sur la base de l’avis des sommes à payer qu’il reçoit.</w:t>
      </w:r>
    </w:p>
    <w:p w:rsidR="000C7E58" w:rsidRPr="005A47AA" w:rsidRDefault="000C7E58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>C’est l’</w:t>
      </w:r>
      <w:r w:rsidR="000945D3"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>hôpital</w:t>
      </w:r>
      <w:r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 xml:space="preserve"> qui facture la prestation et donc le dispositif de facturation individuelle de l’</w:t>
      </w:r>
      <w:r w:rsidR="000945D3"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>hôpital</w:t>
      </w:r>
      <w:r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 xml:space="preserve"> est mis en œuvre. L</w:t>
      </w:r>
      <w:r w:rsidR="000945D3"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>e</w:t>
      </w:r>
      <w:r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 xml:space="preserve"> patient n’a donc rien à verser lors de sa consultation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:rsidR="00727E0A" w:rsidRPr="005A47AA" w:rsidRDefault="00727E0A" w:rsidP="00727E0A">
      <w:pPr>
        <w:pStyle w:val="Paragraphedeliste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4D6257" w:rsidRPr="005A47AA" w:rsidRDefault="004D6257" w:rsidP="00727E0A">
      <w:pPr>
        <w:pStyle w:val="Paragraphedeliste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235848" w:rsidRPr="002C1BC3" w:rsidRDefault="00727E0A" w:rsidP="00235848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</w:pPr>
      <w:r w:rsidRPr="002C1BC3"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  <w:t>Les M</w:t>
      </w:r>
      <w:r w:rsidR="002C531B" w:rsidRPr="002C1BC3"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  <w:t>odes</w:t>
      </w:r>
      <w:r w:rsidRPr="002C1BC3"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  <w:t xml:space="preserve"> de </w:t>
      </w:r>
      <w:r w:rsidR="002C531B" w:rsidRPr="002C1BC3"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  <w:t xml:space="preserve">Financements </w:t>
      </w:r>
    </w:p>
    <w:p w:rsidR="00CB7C33" w:rsidRPr="0068674A" w:rsidRDefault="00235848" w:rsidP="009E666A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674A">
        <w:rPr>
          <w:rFonts w:ascii="Bookman Old Style" w:eastAsia="Calibri" w:hAnsi="Bookman Old Style"/>
          <w:sz w:val="22"/>
          <w:szCs w:val="22"/>
          <w:lang w:eastAsia="en-US"/>
        </w:rPr>
        <w:t>L’agence régionale de santé</w:t>
      </w:r>
      <w:r w:rsidR="0029496F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 Provence-Alpes-Côte d’Azur prend en charge 80%</w:t>
      </w:r>
      <w:r w:rsidR="00CB7C33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 (temps partagé entre hôpitaux) et 90% (temps partagé ville/hôpital)</w:t>
      </w:r>
      <w:r w:rsidR="0029496F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 du cout du poste d’un assistant spécialiste des hôpitaux 1</w:t>
      </w:r>
      <w:r w:rsidR="0029496F" w:rsidRPr="0068674A">
        <w:rPr>
          <w:rFonts w:ascii="Bookman Old Style" w:eastAsia="Calibri" w:hAnsi="Bookman Old Style"/>
          <w:sz w:val="22"/>
          <w:szCs w:val="22"/>
          <w:vertAlign w:val="superscript"/>
          <w:lang w:eastAsia="en-US"/>
        </w:rPr>
        <w:t>er</w:t>
      </w:r>
      <w:r w:rsidR="0029496F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 et 2</w:t>
      </w:r>
      <w:r w:rsidR="0029496F" w:rsidRPr="0068674A">
        <w:rPr>
          <w:rFonts w:ascii="Bookman Old Style" w:eastAsia="Calibri" w:hAnsi="Bookman Old Style"/>
          <w:sz w:val="22"/>
          <w:szCs w:val="22"/>
          <w:vertAlign w:val="superscript"/>
          <w:lang w:eastAsia="en-US"/>
        </w:rPr>
        <w:t>ème</w:t>
      </w:r>
      <w:r w:rsidR="0029496F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 année et une prime d’exercice</w:t>
      </w:r>
      <w:r w:rsidR="00CB7C33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 territorial (PET) forfaitaire. </w:t>
      </w:r>
    </w:p>
    <w:p w:rsidR="00235848" w:rsidRPr="0068674A" w:rsidRDefault="00CB7C33" w:rsidP="009E666A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674A">
        <w:rPr>
          <w:rFonts w:ascii="Bookman Old Style" w:eastAsia="Calibri" w:hAnsi="Bookman Old Style"/>
          <w:sz w:val="22"/>
          <w:szCs w:val="22"/>
          <w:lang w:eastAsia="en-US"/>
        </w:rPr>
        <w:t>L</w:t>
      </w:r>
      <w:r w:rsidR="0029496F" w:rsidRPr="0068674A">
        <w:rPr>
          <w:rFonts w:ascii="Bookman Old Style" w:eastAsia="Calibri" w:hAnsi="Bookman Old Style"/>
          <w:sz w:val="22"/>
          <w:szCs w:val="22"/>
          <w:lang w:eastAsia="en-US"/>
        </w:rPr>
        <w:t>a partie restante (</w:t>
      </w:r>
      <w:r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dont </w:t>
      </w:r>
      <w:r w:rsidR="0029496F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complément éventuelle sur la prime d’Exercice </w:t>
      </w:r>
      <w:r w:rsidR="009E666A" w:rsidRPr="0068674A">
        <w:rPr>
          <w:rFonts w:ascii="Bookman Old Style" w:eastAsia="Calibri" w:hAnsi="Bookman Old Style"/>
          <w:sz w:val="22"/>
          <w:szCs w:val="22"/>
          <w:lang w:eastAsia="en-US"/>
        </w:rPr>
        <w:t>territorial) étant prise en charge par les établissements de santé partenaire au prorata de la répartition du temps de l’ASTP entre les établissements.</w:t>
      </w:r>
    </w:p>
    <w:p w:rsidR="001F3115" w:rsidRDefault="00CB7C33" w:rsidP="005A47AA">
      <w:pPr>
        <w:spacing w:after="200" w:line="276" w:lineRule="auto"/>
        <w:jc w:val="both"/>
        <w:rPr>
          <w:rFonts w:ascii="Bookman Old Style" w:eastAsia="Calibri" w:hAnsi="Bookman Old Style"/>
          <w:i/>
          <w:color w:val="00B050"/>
          <w:sz w:val="22"/>
          <w:szCs w:val="22"/>
          <w:lang w:eastAsia="en-US"/>
        </w:rPr>
      </w:pPr>
      <w:r w:rsidRPr="0068674A">
        <w:rPr>
          <w:rFonts w:ascii="Bookman Old Style" w:eastAsia="Calibri" w:hAnsi="Bookman Old Style"/>
          <w:i/>
          <w:color w:val="00B050"/>
          <w:sz w:val="22"/>
          <w:szCs w:val="22"/>
          <w:lang w:eastAsia="en-US"/>
        </w:rPr>
        <w:t>NB : la structure ambulatoire ne participe pas à la prise en charge de la rémunération (</w:t>
      </w:r>
      <w:proofErr w:type="spellStart"/>
      <w:r w:rsidRPr="0068674A">
        <w:rPr>
          <w:rFonts w:ascii="Bookman Old Style" w:eastAsia="Calibri" w:hAnsi="Bookman Old Style"/>
          <w:i/>
          <w:color w:val="00B050"/>
          <w:sz w:val="22"/>
          <w:szCs w:val="22"/>
          <w:lang w:eastAsia="en-US"/>
        </w:rPr>
        <w:t>cf</w:t>
      </w:r>
      <w:proofErr w:type="spellEnd"/>
      <w:r w:rsidRPr="0068674A">
        <w:rPr>
          <w:rFonts w:ascii="Bookman Old Style" w:eastAsia="Calibri" w:hAnsi="Bookman Old Style"/>
          <w:i/>
          <w:color w:val="00B050"/>
          <w:sz w:val="22"/>
          <w:szCs w:val="22"/>
          <w:lang w:eastAsia="en-US"/>
        </w:rPr>
        <w:t xml:space="preserve"> paragraphe 2 </w:t>
      </w:r>
      <w:r w:rsidR="005A47AA" w:rsidRPr="0068674A">
        <w:rPr>
          <w:rFonts w:ascii="Bookman Old Style" w:eastAsia="Calibri" w:hAnsi="Bookman Old Style"/>
          <w:i/>
          <w:color w:val="00B050"/>
          <w:sz w:val="22"/>
          <w:szCs w:val="22"/>
          <w:lang w:eastAsia="en-US"/>
        </w:rPr>
        <w:t xml:space="preserve">et le point </w:t>
      </w:r>
      <w:r w:rsidRPr="0068674A">
        <w:rPr>
          <w:rFonts w:ascii="Bookman Old Style" w:eastAsia="Calibri" w:hAnsi="Bookman Old Style"/>
          <w:i/>
          <w:color w:val="00B050"/>
          <w:sz w:val="22"/>
          <w:szCs w:val="22"/>
          <w:lang w:eastAsia="en-US"/>
        </w:rPr>
        <w:t xml:space="preserve">sur la consultation avancée) </w:t>
      </w:r>
    </w:p>
    <w:p w:rsidR="0068674A" w:rsidRPr="0068674A" w:rsidRDefault="0068674A" w:rsidP="005A47AA">
      <w:pPr>
        <w:spacing w:after="200" w:line="276" w:lineRule="auto"/>
        <w:jc w:val="both"/>
        <w:rPr>
          <w:rFonts w:ascii="Bookman Old Style" w:eastAsia="Calibri" w:hAnsi="Bookman Old Style"/>
          <w:i/>
          <w:color w:val="00B050"/>
          <w:sz w:val="22"/>
          <w:szCs w:val="22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2869"/>
        <w:gridCol w:w="3026"/>
      </w:tblGrid>
      <w:tr w:rsidR="001F3115" w:rsidRPr="005A47AA" w:rsidTr="004806D9">
        <w:tc>
          <w:tcPr>
            <w:tcW w:w="3227" w:type="dxa"/>
          </w:tcPr>
          <w:p w:rsidR="001F3115" w:rsidRPr="005A47AA" w:rsidRDefault="001F3115" w:rsidP="004806D9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  <w:tc>
          <w:tcPr>
            <w:tcW w:w="2914" w:type="dxa"/>
          </w:tcPr>
          <w:p w:rsidR="001F3115" w:rsidRPr="005A47AA" w:rsidRDefault="001F3115" w:rsidP="004806D9">
            <w:pPr>
              <w:spacing w:after="200" w:line="276" w:lineRule="auto"/>
              <w:jc w:val="both"/>
              <w:rPr>
                <w:rFonts w:ascii="Bookman Old Style" w:eastAsia="Calibri" w:hAnsi="Bookman Old Style"/>
                <w:b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b/>
                <w:color w:val="76923C" w:themeColor="accent3" w:themeShade="BF"/>
                <w:sz w:val="22"/>
                <w:szCs w:val="22"/>
                <w:lang w:eastAsia="en-US"/>
              </w:rPr>
              <w:t>ASTP ville/hôpital</w:t>
            </w:r>
            <w:r w:rsidR="005E6F02">
              <w:rPr>
                <w:rFonts w:ascii="Bookman Old Style" w:eastAsia="Calibri" w:hAnsi="Bookman Old Style"/>
                <w:b/>
                <w:color w:val="76923C" w:themeColor="accent3" w:themeShade="BF"/>
                <w:sz w:val="22"/>
                <w:szCs w:val="22"/>
                <w:lang w:eastAsia="en-US"/>
              </w:rPr>
              <w:t xml:space="preserve"> à 90% *</w:t>
            </w:r>
          </w:p>
        </w:tc>
        <w:tc>
          <w:tcPr>
            <w:tcW w:w="3071" w:type="dxa"/>
          </w:tcPr>
          <w:p w:rsidR="001F3115" w:rsidRPr="005A47AA" w:rsidRDefault="001F3115" w:rsidP="004806D9">
            <w:pPr>
              <w:spacing w:after="200" w:line="276" w:lineRule="auto"/>
              <w:rPr>
                <w:rFonts w:ascii="Bookman Old Style" w:eastAsia="Calibri" w:hAnsi="Bookman Old Style"/>
                <w:b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b/>
                <w:color w:val="17365D" w:themeColor="text2" w:themeShade="BF"/>
                <w:sz w:val="22"/>
                <w:szCs w:val="22"/>
                <w:lang w:eastAsia="en-US"/>
              </w:rPr>
              <w:t>ASTP hôpital/hôpital</w:t>
            </w:r>
            <w:r w:rsidR="005E6F02">
              <w:rPr>
                <w:rFonts w:ascii="Bookman Old Style" w:eastAsia="Calibri" w:hAnsi="Bookman Old Style"/>
                <w:b/>
                <w:color w:val="17365D" w:themeColor="text2" w:themeShade="BF"/>
                <w:sz w:val="22"/>
                <w:szCs w:val="22"/>
                <w:lang w:eastAsia="en-US"/>
              </w:rPr>
              <w:t xml:space="preserve"> à 80%*</w:t>
            </w:r>
          </w:p>
        </w:tc>
      </w:tr>
      <w:tr w:rsidR="001F3115" w:rsidRPr="005A47AA" w:rsidTr="004806D9">
        <w:tc>
          <w:tcPr>
            <w:tcW w:w="3227" w:type="dxa"/>
          </w:tcPr>
          <w:p w:rsidR="001F3115" w:rsidRPr="005A47AA" w:rsidRDefault="001F3115" w:rsidP="004806D9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Emoluments d’un poste assistant spécialiste de 1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vertAlign w:val="superscript"/>
                <w:lang w:eastAsia="en-US"/>
              </w:rPr>
              <w:t>ère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ou 2eme année</w:t>
            </w:r>
          </w:p>
        </w:tc>
        <w:tc>
          <w:tcPr>
            <w:tcW w:w="2914" w:type="dxa"/>
          </w:tcPr>
          <w:p w:rsidR="001F3115" w:rsidRPr="005A47AA" w:rsidRDefault="001F3115" w:rsidP="00B059D5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2</w:t>
            </w:r>
            <w:r w:rsidR="00DA50BC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 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668</w:t>
            </w:r>
            <w:r w:rsidR="00DA50BC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,76 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€ brut mensuel </w:t>
            </w:r>
          </w:p>
        </w:tc>
        <w:tc>
          <w:tcPr>
            <w:tcW w:w="3071" w:type="dxa"/>
          </w:tcPr>
          <w:p w:rsidR="001F3115" w:rsidRPr="005A47AA" w:rsidRDefault="001F3115" w:rsidP="004806D9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2</w:t>
            </w:r>
            <w:r w:rsidR="00DA50BC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 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668</w:t>
            </w:r>
            <w:r w:rsidR="00DA50BC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 ,76 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€ brut mensuel</w:t>
            </w:r>
          </w:p>
        </w:tc>
      </w:tr>
      <w:tr w:rsidR="001F3115" w:rsidRPr="005A47AA" w:rsidTr="004806D9">
        <w:trPr>
          <w:trHeight w:val="1249"/>
        </w:trPr>
        <w:tc>
          <w:tcPr>
            <w:tcW w:w="3227" w:type="dxa"/>
          </w:tcPr>
          <w:p w:rsidR="001F3115" w:rsidRPr="005A47AA" w:rsidRDefault="001F3115" w:rsidP="004806D9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La prime d’exercice territorial </w:t>
            </w:r>
          </w:p>
        </w:tc>
        <w:tc>
          <w:tcPr>
            <w:tcW w:w="2914" w:type="dxa"/>
          </w:tcPr>
          <w:p w:rsidR="001F3115" w:rsidRPr="005A47AA" w:rsidRDefault="001F3115" w:rsidP="004806D9">
            <w:pPr>
              <w:spacing w:after="200" w:line="276" w:lineRule="auto"/>
              <w:rPr>
                <w:rFonts w:ascii="Bookman Old Style" w:eastAsia="Calibri" w:hAnsi="Bookman Old Style"/>
                <w:color w:val="FF0000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1 000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vertAlign w:val="superscript"/>
                <w:lang w:eastAsia="en-US"/>
              </w:rPr>
              <w:t>e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brut mensuel (</w:t>
            </w:r>
            <w:r w:rsidRPr="005A47AA">
              <w:rPr>
                <w:rFonts w:ascii="Bookman Old Style" w:eastAsia="Calibri" w:hAnsi="Bookman Old Style"/>
                <w:color w:val="00B050"/>
                <w:sz w:val="22"/>
                <w:szCs w:val="22"/>
                <w:lang w:eastAsia="en-US"/>
              </w:rPr>
              <w:t>lorsque 50% de l’exercice est effectué au sein de la structure ambulatoire sous forme de consultations avancées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)</w:t>
            </w:r>
            <w:r w:rsidR="00D50AFA" w:rsidRPr="005A47AA">
              <w:rPr>
                <w:rFonts w:ascii="Bookman Old Style" w:eastAsia="Calibri" w:hAnsi="Bookman Old Style"/>
                <w:color w:val="FF0000"/>
                <w:sz w:val="22"/>
                <w:szCs w:val="22"/>
                <w:lang w:eastAsia="en-US"/>
              </w:rPr>
              <w:t> </w:t>
            </w:r>
            <w:r w:rsidR="00AC5EA2" w:rsidRPr="005A47AA">
              <w:rPr>
                <w:rFonts w:ascii="Bookman Old Style" w:eastAsia="Calibri" w:hAnsi="Bookman Old Style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4125E2" w:rsidRPr="005A47AA" w:rsidRDefault="004125E2" w:rsidP="004125E2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71" w:type="dxa"/>
          </w:tcPr>
          <w:p w:rsidR="001F3115" w:rsidRPr="005A47AA" w:rsidRDefault="006E6229" w:rsidP="006E6229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45O € brut mensuel (</w:t>
            </w:r>
            <w:r w:rsidR="001F3115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participation à la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prime d’exercice territorial)</w:t>
            </w:r>
            <w:r w:rsidR="001F3115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.</w:t>
            </w:r>
            <w:r w:rsidR="001F3115" w:rsidRPr="005A47AA">
              <w:rPr>
                <w:rFonts w:ascii="Bookman Old Style" w:eastAsia="Calibri" w:hAnsi="Bookman Old Style"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</w:tr>
      <w:tr w:rsidR="001F3115" w:rsidRPr="005A47AA" w:rsidTr="004806D9">
        <w:tc>
          <w:tcPr>
            <w:tcW w:w="3227" w:type="dxa"/>
          </w:tcPr>
          <w:p w:rsidR="001F3115" w:rsidRPr="005A47AA" w:rsidRDefault="001F3115" w:rsidP="004806D9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L’indemnité d’engagement de service public exclusif IESPE)</w:t>
            </w:r>
          </w:p>
        </w:tc>
        <w:tc>
          <w:tcPr>
            <w:tcW w:w="2914" w:type="dxa"/>
          </w:tcPr>
          <w:p w:rsidR="001F3115" w:rsidRPr="005A47AA" w:rsidRDefault="001865CF" w:rsidP="00B059D5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1010</w:t>
            </w:r>
            <w:r w:rsidR="001F3115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€ brut mensuel</w:t>
            </w:r>
          </w:p>
        </w:tc>
        <w:tc>
          <w:tcPr>
            <w:tcW w:w="3071" w:type="dxa"/>
          </w:tcPr>
          <w:p w:rsidR="001F3115" w:rsidRPr="005A47AA" w:rsidRDefault="001865CF" w:rsidP="004806D9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1010</w:t>
            </w:r>
            <w:r w:rsidR="00D05F98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€ brut mensuel</w:t>
            </w:r>
          </w:p>
        </w:tc>
      </w:tr>
      <w:tr w:rsidR="001F3115" w:rsidRPr="005A47AA" w:rsidTr="004806D9">
        <w:trPr>
          <w:trHeight w:val="346"/>
        </w:trPr>
        <w:tc>
          <w:tcPr>
            <w:tcW w:w="3227" w:type="dxa"/>
          </w:tcPr>
          <w:p w:rsidR="001F3115" w:rsidRPr="005A47AA" w:rsidRDefault="001F3115" w:rsidP="004806D9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Le taux de charges employeurs </w:t>
            </w:r>
          </w:p>
        </w:tc>
        <w:tc>
          <w:tcPr>
            <w:tcW w:w="2914" w:type="dxa"/>
          </w:tcPr>
          <w:p w:rsidR="001F3115" w:rsidRPr="005A47AA" w:rsidRDefault="001F3115" w:rsidP="00DA50BC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44% </w:t>
            </w:r>
          </w:p>
        </w:tc>
        <w:tc>
          <w:tcPr>
            <w:tcW w:w="3071" w:type="dxa"/>
          </w:tcPr>
          <w:p w:rsidR="001F3115" w:rsidRPr="005A47AA" w:rsidRDefault="001F3115" w:rsidP="00DA50BC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44% </w:t>
            </w:r>
          </w:p>
        </w:tc>
      </w:tr>
      <w:tr w:rsidR="002B2DAD" w:rsidRPr="005A47AA" w:rsidTr="004806D9">
        <w:trPr>
          <w:trHeight w:val="346"/>
        </w:trPr>
        <w:tc>
          <w:tcPr>
            <w:tcW w:w="3227" w:type="dxa"/>
          </w:tcPr>
          <w:p w:rsidR="002B2DAD" w:rsidRPr="005A47AA" w:rsidRDefault="002B2DAD" w:rsidP="004806D9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Coût total</w:t>
            </w:r>
            <w:r w:rsidR="00E9009F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à 80% ou 90%</w:t>
            </w:r>
          </w:p>
        </w:tc>
        <w:tc>
          <w:tcPr>
            <w:tcW w:w="2914" w:type="dxa"/>
          </w:tcPr>
          <w:p w:rsidR="002B2DAD" w:rsidRPr="005A47AA" w:rsidRDefault="002B2DAD" w:rsidP="002B2DAD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6063.67 /mois (</w:t>
            </w:r>
            <w:r w:rsidR="00CB7C33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montant versé à l’établissement recruteur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071" w:type="dxa"/>
          </w:tcPr>
          <w:p w:rsidR="002B2DAD" w:rsidRPr="005A47AA" w:rsidRDefault="002B2DAD" w:rsidP="00CB7C33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4779.37 €/mois (montant versé </w:t>
            </w:r>
            <w:r w:rsidR="00CB7C33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à l’établissement</w:t>
            </w:r>
            <w:r w:rsidR="00D00807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recruteur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)</w:t>
            </w:r>
          </w:p>
        </w:tc>
      </w:tr>
    </w:tbl>
    <w:p w:rsidR="005D62EC" w:rsidRPr="005A47AA" w:rsidRDefault="005E6F02" w:rsidP="001F3115">
      <w:pPr>
        <w:spacing w:after="200" w:line="276" w:lineRule="auto"/>
        <w:rPr>
          <w:rFonts w:ascii="Bookman Old Style" w:eastAsia="Calibri" w:hAnsi="Bookman Old Style"/>
          <w:i/>
          <w:sz w:val="22"/>
          <w:szCs w:val="22"/>
          <w:lang w:eastAsia="en-US"/>
        </w:rPr>
      </w:pPr>
      <w:r>
        <w:rPr>
          <w:rFonts w:ascii="Bookman Old Style" w:eastAsia="Calibri" w:hAnsi="Bookman Old Style"/>
          <w:i/>
          <w:sz w:val="22"/>
          <w:szCs w:val="22"/>
          <w:lang w:eastAsia="en-US"/>
        </w:rPr>
        <w:t>*</w:t>
      </w:r>
      <w:r w:rsidR="001F3115" w:rsidRPr="005A47AA">
        <w:rPr>
          <w:rFonts w:ascii="Bookman Old Style" w:eastAsia="Calibri" w:hAnsi="Bookman Old Style"/>
          <w:i/>
          <w:sz w:val="22"/>
          <w:szCs w:val="22"/>
          <w:lang w:eastAsia="en-US"/>
        </w:rPr>
        <w:t>Pour rappel, financement uniquement de la rémunération, pas de matériel.</w:t>
      </w:r>
    </w:p>
    <w:p w:rsidR="002C531B" w:rsidRDefault="002C531B" w:rsidP="006E6229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1F3115" w:rsidRPr="005A47AA" w:rsidRDefault="00E9009F" w:rsidP="006E6229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sz w:val="22"/>
          <w:szCs w:val="22"/>
          <w:lang w:eastAsia="en-US"/>
        </w:rPr>
        <w:t>En PACA, en 2022</w:t>
      </w:r>
      <w:r w:rsidR="005D62EC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, les postes accordés </w:t>
      </w:r>
      <w:r w:rsidR="001F3115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par le </w:t>
      </w:r>
      <w:r w:rsidR="00640FB1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Ministère </w:t>
      </w:r>
      <w:r w:rsidR="005D62EC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s’élevaient à </w:t>
      </w:r>
      <w:r w:rsidR="001F3115" w:rsidRPr="005A47AA">
        <w:rPr>
          <w:rFonts w:ascii="Bookman Old Style" w:eastAsia="Calibri" w:hAnsi="Bookman Old Style"/>
          <w:sz w:val="22"/>
          <w:szCs w:val="22"/>
          <w:lang w:eastAsia="en-US"/>
        </w:rPr>
        <w:t>:</w:t>
      </w:r>
    </w:p>
    <w:p w:rsidR="001F3115" w:rsidRPr="005A47AA" w:rsidRDefault="001F3115" w:rsidP="001F3115">
      <w:pPr>
        <w:pStyle w:val="Paragraphedeliste"/>
        <w:numPr>
          <w:ilvl w:val="0"/>
          <w:numId w:val="17"/>
        </w:numPr>
        <w:spacing w:after="200" w:line="276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sz w:val="22"/>
          <w:szCs w:val="22"/>
          <w:lang w:eastAsia="en-US"/>
        </w:rPr>
        <w:lastRenderedPageBreak/>
        <w:t>12 postes ASTP entre établissements de santé</w:t>
      </w:r>
    </w:p>
    <w:p w:rsidR="001F3115" w:rsidRPr="005A47AA" w:rsidRDefault="006E6229" w:rsidP="001F3115">
      <w:pPr>
        <w:pStyle w:val="Paragraphedeliste"/>
        <w:numPr>
          <w:ilvl w:val="0"/>
          <w:numId w:val="17"/>
        </w:numPr>
        <w:spacing w:after="200" w:line="276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sz w:val="22"/>
          <w:szCs w:val="22"/>
          <w:lang w:eastAsia="en-US"/>
        </w:rPr>
        <w:t>4</w:t>
      </w:r>
      <w:r w:rsidR="001F3115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 postes ASTP ambulatoires.</w:t>
      </w:r>
    </w:p>
    <w:p w:rsidR="005A47AA" w:rsidRPr="005A47AA" w:rsidRDefault="001F3115" w:rsidP="001F3115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L’ARS PACA </w:t>
      </w:r>
      <w:r w:rsidR="00A02A75" w:rsidRPr="005A47AA">
        <w:rPr>
          <w:rFonts w:ascii="Bookman Old Style" w:eastAsia="Calibri" w:hAnsi="Bookman Old Style"/>
          <w:sz w:val="22"/>
          <w:szCs w:val="22"/>
          <w:lang w:eastAsia="en-US"/>
        </w:rPr>
        <w:t>continue sa</w:t>
      </w:r>
      <w:r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 politique volontariste de développement des ASTP et a mo</w:t>
      </w:r>
      <w:r w:rsidR="000E009D" w:rsidRPr="005A47AA">
        <w:rPr>
          <w:rFonts w:ascii="Bookman Old Style" w:eastAsia="Calibri" w:hAnsi="Bookman Old Style"/>
          <w:sz w:val="22"/>
          <w:szCs w:val="22"/>
          <w:lang w:eastAsia="en-US"/>
        </w:rPr>
        <w:t>bilisé</w:t>
      </w:r>
      <w:r w:rsidR="00E9009F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68674A">
        <w:rPr>
          <w:rFonts w:ascii="Bookman Old Style" w:eastAsia="Calibri" w:hAnsi="Bookman Old Style"/>
          <w:sz w:val="22"/>
          <w:szCs w:val="22"/>
          <w:lang w:eastAsia="en-US"/>
        </w:rPr>
        <w:t>de nouveau</w:t>
      </w:r>
      <w:r w:rsidR="00D50AFA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8C4072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le </w:t>
      </w:r>
      <w:r w:rsidR="00D13EF3" w:rsidRPr="005A47AA">
        <w:rPr>
          <w:rFonts w:ascii="Bookman Old Style" w:eastAsia="Calibri" w:hAnsi="Bookman Old Style"/>
          <w:sz w:val="22"/>
          <w:szCs w:val="22"/>
          <w:lang w:eastAsia="en-US"/>
        </w:rPr>
        <w:t>fonds d’intervention régionale (</w:t>
      </w:r>
      <w:r w:rsidR="000E009D" w:rsidRPr="005A47AA">
        <w:rPr>
          <w:rFonts w:ascii="Bookman Old Style" w:eastAsia="Calibri" w:hAnsi="Bookman Old Style"/>
          <w:sz w:val="22"/>
          <w:szCs w:val="22"/>
          <w:lang w:eastAsia="en-US"/>
        </w:rPr>
        <w:t>FIR</w:t>
      </w:r>
      <w:r w:rsidR="00D13EF3" w:rsidRPr="005A47AA">
        <w:rPr>
          <w:rFonts w:ascii="Bookman Old Style" w:eastAsia="Calibri" w:hAnsi="Bookman Old Style"/>
          <w:sz w:val="22"/>
          <w:szCs w:val="22"/>
          <w:lang w:eastAsia="en-US"/>
        </w:rPr>
        <w:t>)</w:t>
      </w:r>
      <w:r w:rsidR="00D50AFA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pour financer </w:t>
      </w:r>
      <w:r w:rsidR="006E6229" w:rsidRPr="005A47AA">
        <w:rPr>
          <w:rFonts w:ascii="Bookman Old Style" w:eastAsia="Calibri" w:hAnsi="Bookman Old Style"/>
          <w:sz w:val="22"/>
          <w:szCs w:val="22"/>
          <w:lang w:eastAsia="en-US"/>
        </w:rPr>
        <w:t>des postes</w:t>
      </w:r>
      <w:r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8C4072" w:rsidRPr="005A47AA">
        <w:rPr>
          <w:rFonts w:ascii="Bookman Old Style" w:eastAsia="Calibri" w:hAnsi="Bookman Old Style"/>
          <w:sz w:val="22"/>
          <w:szCs w:val="22"/>
          <w:lang w:eastAsia="en-US"/>
        </w:rPr>
        <w:t>supplémentaires</w:t>
      </w:r>
      <w:r w:rsidR="00E9009F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 (44 au total</w:t>
      </w:r>
      <w:r w:rsidR="0068674A">
        <w:rPr>
          <w:rFonts w:ascii="Bookman Old Style" w:eastAsia="Calibri" w:hAnsi="Bookman Old Style"/>
          <w:sz w:val="22"/>
          <w:szCs w:val="22"/>
          <w:lang w:eastAsia="en-US"/>
        </w:rPr>
        <w:t xml:space="preserve"> pour 2022</w:t>
      </w:r>
      <w:r w:rsidR="00E9009F" w:rsidRPr="005A47AA">
        <w:rPr>
          <w:rFonts w:ascii="Bookman Old Style" w:eastAsia="Calibri" w:hAnsi="Bookman Old Style"/>
          <w:sz w:val="22"/>
          <w:szCs w:val="22"/>
          <w:lang w:eastAsia="en-US"/>
        </w:rPr>
        <w:t>)</w:t>
      </w:r>
      <w:r w:rsidRPr="005A47AA">
        <w:rPr>
          <w:rFonts w:ascii="Bookman Old Style" w:eastAsia="Calibri" w:hAnsi="Bookman Old Style"/>
          <w:sz w:val="22"/>
          <w:szCs w:val="22"/>
          <w:lang w:eastAsia="en-US"/>
        </w:rPr>
        <w:t>.</w:t>
      </w:r>
    </w:p>
    <w:p w:rsidR="004E46A2" w:rsidRPr="005A47AA" w:rsidRDefault="004125E2" w:rsidP="00C4375E">
      <w:pPr>
        <w:spacing w:after="200" w:line="276" w:lineRule="auto"/>
        <w:rPr>
          <w:rFonts w:ascii="Bookman Old Style" w:eastAsia="Calibri" w:hAnsi="Bookman Old Style"/>
          <w:b/>
          <w:color w:val="00B050"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/>
          <w:color w:val="00B050"/>
          <w:sz w:val="22"/>
          <w:szCs w:val="22"/>
          <w:lang w:eastAsia="en-US"/>
        </w:rPr>
        <w:t xml:space="preserve">ATTENTION : l’ARS ne </w:t>
      </w:r>
      <w:r w:rsidR="005E6F02">
        <w:rPr>
          <w:rFonts w:ascii="Bookman Old Style" w:eastAsia="Calibri" w:hAnsi="Bookman Old Style"/>
          <w:b/>
          <w:color w:val="00B050"/>
          <w:sz w:val="22"/>
          <w:szCs w:val="22"/>
          <w:lang w:eastAsia="en-US"/>
        </w:rPr>
        <w:t>déléguera les crédits</w:t>
      </w:r>
      <w:r w:rsidRPr="005A47AA">
        <w:rPr>
          <w:rFonts w:ascii="Bookman Old Style" w:eastAsia="Calibri" w:hAnsi="Bookman Old Style"/>
          <w:b/>
          <w:color w:val="00B050"/>
          <w:sz w:val="22"/>
          <w:szCs w:val="22"/>
          <w:lang w:eastAsia="en-US"/>
        </w:rPr>
        <w:t xml:space="preserve"> qu’à compter de la réception de la convention de partage signée par les structures partenaires et l’ASTP</w:t>
      </w:r>
      <w:r w:rsidR="00D00807">
        <w:rPr>
          <w:rFonts w:ascii="Bookman Old Style" w:eastAsia="Calibri" w:hAnsi="Bookman Old Style"/>
          <w:b/>
          <w:color w:val="00B050"/>
          <w:sz w:val="22"/>
          <w:szCs w:val="22"/>
          <w:lang w:eastAsia="en-US"/>
        </w:rPr>
        <w:t>.</w:t>
      </w:r>
    </w:p>
    <w:p w:rsidR="00E9009F" w:rsidRPr="005A47AA" w:rsidRDefault="00E9009F" w:rsidP="00C4375E">
      <w:pPr>
        <w:spacing w:after="200" w:line="276" w:lineRule="auto"/>
        <w:rPr>
          <w:rFonts w:ascii="Bookman Old Style" w:eastAsia="Calibri" w:hAnsi="Bookman Old Style"/>
          <w:b/>
          <w:color w:val="00B050"/>
          <w:sz w:val="22"/>
          <w:szCs w:val="22"/>
          <w:lang w:eastAsia="en-US"/>
        </w:rPr>
      </w:pPr>
    </w:p>
    <w:p w:rsidR="005A72CD" w:rsidRPr="00B239B7" w:rsidRDefault="002C1BC3" w:rsidP="00B239B7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La stratégie</w:t>
      </w:r>
      <w:r w:rsidR="00727E0A"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 </w:t>
      </w:r>
      <w:r w:rsidR="00BE5F4A"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relative aux ASTP </w:t>
      </w:r>
      <w:r w:rsidR="00727E0A"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20</w:t>
      </w:r>
      <w:r w:rsidR="005A72CD"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2</w:t>
      </w:r>
      <w:r w:rsidR="001A4D07"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3</w:t>
      </w:r>
      <w:r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 - 2025</w:t>
      </w:r>
    </w:p>
    <w:p w:rsidR="005A72CD" w:rsidRPr="005A47AA" w:rsidRDefault="000C7E58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Ce </w:t>
      </w:r>
      <w:r w:rsidR="000945D3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dispositif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est en cohérence avec les </w:t>
      </w:r>
      <w:r w:rsidR="001A4D07" w:rsidRPr="005A47AA">
        <w:rPr>
          <w:rFonts w:ascii="Bookman Old Style" w:eastAsia="Calibri" w:hAnsi="Bookman Old Style"/>
          <w:bCs/>
          <w:color w:val="000000" w:themeColor="text1"/>
          <w:sz w:val="22"/>
          <w:szCs w:val="22"/>
          <w:lang w:eastAsia="en-US"/>
        </w:rPr>
        <w:t xml:space="preserve">orientations du PRS </w:t>
      </w:r>
      <w:r w:rsidRPr="005A47AA">
        <w:rPr>
          <w:rFonts w:ascii="Bookman Old Style" w:eastAsia="Calibri" w:hAnsi="Bookman Old Style"/>
          <w:bCs/>
          <w:color w:val="000000" w:themeColor="text1"/>
          <w:sz w:val="22"/>
          <w:szCs w:val="22"/>
          <w:lang w:eastAsia="en-US"/>
        </w:rPr>
        <w:t>et l’organisation de l’</w:t>
      </w:r>
      <w:r w:rsidR="00EF4285" w:rsidRPr="005A47AA">
        <w:rPr>
          <w:rFonts w:ascii="Bookman Old Style" w:eastAsia="Calibri" w:hAnsi="Bookman Old Style"/>
          <w:bCs/>
          <w:color w:val="000000" w:themeColor="text1"/>
          <w:sz w:val="22"/>
          <w:szCs w:val="22"/>
          <w:lang w:eastAsia="en-US"/>
        </w:rPr>
        <w:t>offre de soin</w:t>
      </w:r>
      <w:r w:rsidRPr="005A47AA">
        <w:rPr>
          <w:rFonts w:ascii="Bookman Old Style" w:eastAsia="Calibri" w:hAnsi="Bookman Old Style"/>
          <w:bCs/>
          <w:color w:val="000000" w:themeColor="text1"/>
          <w:sz w:val="22"/>
          <w:szCs w:val="22"/>
          <w:lang w:eastAsia="en-US"/>
        </w:rPr>
        <w:t xml:space="preserve"> à l’échelle régionale, </w:t>
      </w:r>
      <w:r w:rsidR="00B059D5" w:rsidRPr="005A47AA">
        <w:rPr>
          <w:rFonts w:ascii="Bookman Old Style" w:eastAsia="Calibri" w:hAnsi="Bookman Old Style"/>
          <w:bCs/>
          <w:color w:val="000000" w:themeColor="text1"/>
          <w:sz w:val="22"/>
          <w:szCs w:val="22"/>
          <w:lang w:eastAsia="en-US"/>
        </w:rPr>
        <w:t xml:space="preserve">ainsi qu’avec les 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initiatives impliquant des structures situées dans des </w:t>
      </w:r>
      <w:r w:rsidR="001E06A5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zones déficitaires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dans les spécialités médicales concernées.</w:t>
      </w:r>
    </w:p>
    <w:p w:rsidR="001A4D07" w:rsidRPr="005A47AA" w:rsidRDefault="001A4D07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Les postes d’ASTP permettent de renforcer l’attractivité de l’h</w:t>
      </w:r>
      <w:r w:rsidR="00E9009F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ôpital</w:t>
      </w:r>
      <w:r w:rsidR="005E6F0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public</w:t>
      </w:r>
      <w:r w:rsidR="00E9009F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,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peuvent assurer un équilibre territorial et garantir la sécurisation de</w:t>
      </w:r>
      <w:r w:rsidR="0068674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certaines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filières prioritaires au sein des GHT : urgences, maternité, psychiatrie et pédiatrie.</w:t>
      </w:r>
    </w:p>
    <w:p w:rsidR="00E9009F" w:rsidRPr="005A47AA" w:rsidRDefault="00E9009F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C’est pour cela que nous demandons aux GHT de construire une politique commune </w:t>
      </w:r>
      <w:r w:rsidR="00D0080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et de se concerter en amont pour la création de </w:t>
      </w:r>
      <w:r w:rsidR="005A47AA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ces postes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  <w:r w:rsidR="005A47AA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5E6F02">
        <w:rPr>
          <w:rFonts w:ascii="Bookman Old Style" w:eastAsia="Calibri" w:hAnsi="Bookman Old Style"/>
          <w:bCs/>
          <w:sz w:val="22"/>
          <w:szCs w:val="22"/>
          <w:lang w:eastAsia="en-US"/>
        </w:rPr>
        <w:t>Par ailleurs d</w:t>
      </w:r>
      <w:r w:rsidR="005A47AA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es postes inter GHT sont également possible</w:t>
      </w:r>
      <w:r w:rsidR="0068674A">
        <w:rPr>
          <w:rFonts w:ascii="Bookman Old Style" w:eastAsia="Calibri" w:hAnsi="Bookman Old Style"/>
          <w:bCs/>
          <w:sz w:val="22"/>
          <w:szCs w:val="22"/>
          <w:lang w:eastAsia="en-US"/>
        </w:rPr>
        <w:t>s</w:t>
      </w:r>
      <w:r w:rsidR="005A47AA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:rsidR="00E163F2" w:rsidRPr="005A47AA" w:rsidRDefault="00E163F2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Stratégie spécifique ASTP hôpital/hôpital </w:t>
      </w:r>
    </w:p>
    <w:p w:rsidR="00283F07" w:rsidRPr="005A47AA" w:rsidRDefault="0068674A" w:rsidP="00283F07">
      <w:pPr>
        <w:spacing w:after="200" w:line="276" w:lineRule="auto"/>
        <w:jc w:val="both"/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L</w:t>
      </w:r>
      <w:r w:rsidR="00283F07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’agence régionale de santé </w:t>
      </w:r>
      <w:r w:rsidR="00866A84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portera une attention particulière sur</w:t>
      </w:r>
      <w:r w:rsidR="00283F07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les spécialités en tension </w:t>
      </w:r>
      <w:r w:rsidR="00FA4BB3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que sont</w:t>
      </w:r>
      <w:r w:rsidR="00283F07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 : </w:t>
      </w:r>
      <w:r w:rsidR="00283F07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l’anesthésie/réanimation,</w:t>
      </w:r>
      <w:r w:rsidR="00866A84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 xml:space="preserve"> </w:t>
      </w:r>
      <w:r w:rsidR="00E163F2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 xml:space="preserve">la </w:t>
      </w:r>
      <w:r w:rsidR="00283F07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gériatrie/médecine interne, la psychiatrie</w:t>
      </w:r>
      <w:r w:rsidR="00866A84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,</w:t>
      </w:r>
      <w:r w:rsidR="00D13EF3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 xml:space="preserve"> </w:t>
      </w:r>
      <w:r w:rsidR="00283F07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la gynécologie</w:t>
      </w:r>
      <w:r w:rsidR="00866A84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-</w:t>
      </w:r>
      <w:r w:rsidR="00283F07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obstétrique</w:t>
      </w:r>
      <w:r w:rsidR="005A72CD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 xml:space="preserve">, la </w:t>
      </w:r>
      <w:r w:rsidR="001865CF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pédiatrie</w:t>
      </w:r>
      <w:r w:rsidR="00866A84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 xml:space="preserve"> et la médecine</w:t>
      </w:r>
      <w:r w:rsidR="00283F07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 xml:space="preserve"> </w:t>
      </w:r>
      <w:r w:rsidR="00866A84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d’</w:t>
      </w:r>
      <w:r w:rsidR="00283F07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ur</w:t>
      </w:r>
      <w:r w:rsidR="00866A84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gence</w:t>
      </w:r>
      <w:r w:rsidR="00283F07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.</w:t>
      </w:r>
    </w:p>
    <w:p w:rsidR="00FA4BB3" w:rsidRPr="005A47AA" w:rsidRDefault="00FA4BB3" w:rsidP="00283F07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Les établissements qui présenteront des candidatures d</w:t>
      </w:r>
      <w:r w:rsidR="006E6229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evront 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s’engager à proposer </w:t>
      </w:r>
      <w:r w:rsidR="00112A9F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un poste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6E6229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pérenne 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aux ASTP</w:t>
      </w:r>
      <w:r w:rsidR="006E6229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(compléter la lettre d’engagement)</w:t>
      </w:r>
      <w:r w:rsidR="005D62EC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si les 2 années ont été satisfaisantes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. </w:t>
      </w:r>
    </w:p>
    <w:p w:rsidR="00BE5F4A" w:rsidRPr="005A47AA" w:rsidRDefault="00BE5F4A" w:rsidP="00BE5F4A">
      <w:pPr>
        <w:spacing w:after="200" w:line="276" w:lineRule="auto"/>
        <w:jc w:val="both"/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</w:pPr>
      <w:r w:rsidRPr="005A47AA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Straté</w:t>
      </w:r>
      <w:r w:rsidR="00453E34" w:rsidRPr="005A47AA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 xml:space="preserve">gie spécifique </w:t>
      </w:r>
      <w:r w:rsidR="001B0F85" w:rsidRPr="005A47AA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ASTP ville/</w:t>
      </w:r>
      <w:r w:rsidR="00453E34" w:rsidRPr="005A47AA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hô</w:t>
      </w:r>
      <w:r w:rsidRPr="005A47AA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 xml:space="preserve">pital : </w:t>
      </w:r>
    </w:p>
    <w:p w:rsidR="00BE5F4A" w:rsidRPr="005A47AA" w:rsidRDefault="00BE5F4A" w:rsidP="00BE5F4A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La stratégie de l’ARS PACA s’inscrit dans le plan </w:t>
      </w:r>
      <w:r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>Ma santé 2022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D50AFA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avec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la </w:t>
      </w:r>
      <w:r w:rsidR="00D50AFA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mise en œuvre du dispositif 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de</w:t>
      </w:r>
      <w:r w:rsidR="00D50AFA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s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400 postes de médecins généralistes à exercice temps partagé ville hôpital au niveau national </w:t>
      </w:r>
    </w:p>
    <w:p w:rsidR="004E1ABD" w:rsidRPr="005A47AA" w:rsidRDefault="00D50AFA" w:rsidP="00BE5F4A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Pour l’exercice mixte ville/hôpital, l’ARS favorisera les spécialités hors médecine générale</w:t>
      </w:r>
      <w:r w:rsidR="004125E2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. </w:t>
      </w:r>
      <w:r w:rsidR="006E6229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Les médecins généralistes pourront privilégier le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dispositif des 400</w:t>
      </w:r>
      <w:r w:rsidR="006E6229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(</w:t>
      </w:r>
      <w:hyperlink r:id="rId8" w:history="1">
        <w:r w:rsidR="004E1ABD" w:rsidRPr="005A47AA">
          <w:rPr>
            <w:rStyle w:val="Lienhypertexte"/>
            <w:rFonts w:ascii="Bookman Old Style" w:eastAsia="Calibri" w:hAnsi="Bookman Old Style"/>
            <w:bCs/>
            <w:sz w:val="22"/>
            <w:szCs w:val="22"/>
            <w:lang w:eastAsia="en-US"/>
          </w:rPr>
          <w:t>https://www.paca.ars.sante.fr/400-medecins-generalistes-recrutes-pour-renforcer-lacces-aux-soins</w:t>
        </w:r>
      </w:hyperlink>
      <w:r w:rsidR="004E1ABD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).</w:t>
      </w:r>
    </w:p>
    <w:p w:rsidR="005D62EC" w:rsidRPr="005A47AA" w:rsidRDefault="00E163F2" w:rsidP="00E163F2">
      <w:pPr>
        <w:spacing w:after="200" w:line="276" w:lineRule="auto"/>
        <w:jc w:val="both"/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Territorialement dans les deux cas de figure</w:t>
      </w:r>
      <w:r w:rsidR="00FA4BB3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 xml:space="preserve"> (ville/hôpital ou hôpital/hôpital)</w:t>
      </w:r>
      <w:r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, l’ARS favorisera le</w:t>
      </w:r>
      <w:r w:rsidR="005E6F02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 xml:space="preserve">s établissements périphériques et parmi eux </w:t>
      </w:r>
      <w:r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 xml:space="preserve">les départements alpins, le </w:t>
      </w:r>
      <w:r w:rsidR="005D62EC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Vaucluse et l’arrière-pays niçois ainsi que les territoires en zone d’intervention prioritaire (ZIP) ou zon</w:t>
      </w:r>
      <w:r w:rsidR="001B4CCA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e d’action complémentaire (ZA</w:t>
      </w:r>
      <w:r w:rsidR="005D62EC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C).</w:t>
      </w:r>
    </w:p>
    <w:p w:rsidR="00D13EF3" w:rsidRPr="005A47AA" w:rsidRDefault="00D13EF3" w:rsidP="00D57AAB">
      <w:pPr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1865CF" w:rsidRPr="005A47AA" w:rsidRDefault="00FA4BB3" w:rsidP="0016168D">
      <w:pPr>
        <w:jc w:val="both"/>
        <w:rPr>
          <w:rFonts w:ascii="Bookman Old Style" w:hAnsi="Bookman Old Style"/>
          <w:sz w:val="22"/>
          <w:szCs w:val="22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L’objectif prioritaire est de développer les ASTP hors des CHU, en privilégiant les ASTP entre établissements périphériques</w:t>
      </w:r>
      <w:r w:rsidR="00D57AAB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D57AAB" w:rsidRPr="005A47AA">
        <w:rPr>
          <w:rFonts w:ascii="Bookman Old Style" w:hAnsi="Bookman Old Style"/>
          <w:sz w:val="22"/>
          <w:szCs w:val="22"/>
        </w:rPr>
        <w:t>et en priorité dans les zones médicales sous denses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.  </w:t>
      </w:r>
    </w:p>
    <w:p w:rsidR="001865CF" w:rsidRPr="005A47AA" w:rsidRDefault="001865CF" w:rsidP="009D2486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0945D3" w:rsidRPr="0068674A" w:rsidRDefault="005E6F02" w:rsidP="00BE5F4A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Procédure</w:t>
      </w:r>
      <w:r w:rsidR="002C531B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 </w:t>
      </w:r>
      <w:r w:rsidR="00BE5F4A" w:rsidRPr="0068674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:</w:t>
      </w:r>
    </w:p>
    <w:p w:rsidR="005E6F02" w:rsidRDefault="003D4D72" w:rsidP="001E06A5">
      <w:pPr>
        <w:spacing w:after="200" w:line="276" w:lineRule="auto"/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La fenêtre de dépôt de cet </w:t>
      </w:r>
      <w:r w:rsidR="002C1BC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appel à candidatures 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est de</w:t>
      </w:r>
      <w:r w:rsidR="002C1BC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EA344F" w:rsidRPr="00EA344F">
        <w:rPr>
          <w:rFonts w:ascii="Bookman Old Style" w:eastAsia="Calibri" w:hAnsi="Bookman Old Style"/>
          <w:bCs/>
          <w:sz w:val="22"/>
          <w:szCs w:val="22"/>
          <w:lang w:eastAsia="en-US"/>
        </w:rPr>
        <w:t>février 2023 au</w:t>
      </w:r>
      <w:r w:rsidR="00EA344F" w:rsidRPr="00EA344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 </w:t>
      </w:r>
      <w:r w:rsidR="00EA344F" w:rsidRPr="003D4D7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30 avril </w:t>
      </w:r>
      <w:r w:rsidR="00922A2F" w:rsidRPr="003D4D72">
        <w:rPr>
          <w:rFonts w:ascii="Bookman Old Style" w:eastAsia="Calibri" w:hAnsi="Bookman Old Style"/>
          <w:bCs/>
          <w:sz w:val="22"/>
          <w:szCs w:val="22"/>
          <w:lang w:eastAsia="en-US"/>
        </w:rPr>
        <w:t>2023</w:t>
      </w:r>
      <w:r w:rsidR="00922A2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922A2F" w:rsidRPr="00EA344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via</w:t>
      </w:r>
      <w:r w:rsidR="00EA344F" w:rsidRPr="002C1BC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2C1BC3" w:rsidRPr="002C1BC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l’application en ligne </w:t>
      </w:r>
      <w:r w:rsidR="002C1BC3"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démarches</w:t>
      </w:r>
      <w:r w:rsidR="00EA344F"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 xml:space="preserve"> simplifiée</w:t>
      </w:r>
      <w:r w:rsidR="002C1BC3"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s</w:t>
      </w:r>
      <w:r w:rsidR="00EA344F" w:rsidRPr="00EA344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.</w:t>
      </w:r>
      <w:r w:rsidR="00EA344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 </w:t>
      </w:r>
    </w:p>
    <w:p w:rsidR="00EA344F" w:rsidRPr="00EA344F" w:rsidRDefault="00EA344F" w:rsidP="001E06A5">
      <w:pPr>
        <w:spacing w:after="200" w:line="276" w:lineRule="auto"/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EA344F">
        <w:rPr>
          <w:rFonts w:ascii="Bookman Old Style" w:eastAsia="Calibri" w:hAnsi="Bookman Old Style"/>
          <w:bCs/>
          <w:sz w:val="22"/>
          <w:szCs w:val="22"/>
          <w:lang w:eastAsia="en-US"/>
        </w:rPr>
        <w:t>Une note explicative sur démarche</w:t>
      </w:r>
      <w:r w:rsidR="002C1BC3">
        <w:rPr>
          <w:rFonts w:ascii="Bookman Old Style" w:eastAsia="Calibri" w:hAnsi="Bookman Old Style"/>
          <w:bCs/>
          <w:sz w:val="22"/>
          <w:szCs w:val="22"/>
          <w:lang w:eastAsia="en-US"/>
        </w:rPr>
        <w:t>s</w:t>
      </w:r>
      <w:r w:rsidRPr="00EA344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simplifiée</w:t>
      </w:r>
      <w:r w:rsidR="002C1BC3">
        <w:rPr>
          <w:rFonts w:ascii="Bookman Old Style" w:eastAsia="Calibri" w:hAnsi="Bookman Old Style"/>
          <w:bCs/>
          <w:sz w:val="22"/>
          <w:szCs w:val="22"/>
          <w:lang w:eastAsia="en-US"/>
        </w:rPr>
        <w:t>s</w:t>
      </w:r>
      <w:r w:rsidRPr="00EA344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est disponible sur le site de l’ARS 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Pa</w:t>
      </w:r>
      <w:r w:rsidRPr="00EA344F">
        <w:rPr>
          <w:rFonts w:ascii="Bookman Old Style" w:eastAsia="Calibri" w:hAnsi="Bookman Old Style"/>
          <w:bCs/>
          <w:sz w:val="22"/>
          <w:szCs w:val="22"/>
          <w:lang w:eastAsia="en-US"/>
        </w:rPr>
        <w:t>ca</w:t>
      </w:r>
      <w:r w:rsidR="00F24F7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, </w:t>
      </w:r>
      <w:r w:rsidR="002C1BC3">
        <w:rPr>
          <w:rFonts w:ascii="Bookman Old Style" w:eastAsia="Calibri" w:hAnsi="Bookman Old Style"/>
          <w:bCs/>
          <w:sz w:val="22"/>
          <w:szCs w:val="22"/>
          <w:lang w:eastAsia="en-US"/>
        </w:rPr>
        <w:t>merci d’en prendre connaissance</w:t>
      </w:r>
      <w:r w:rsidR="00F24F77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:rsidR="00EA344F" w:rsidRPr="00EA344F" w:rsidRDefault="00EA344F" w:rsidP="00EA344F">
      <w:pPr>
        <w:pStyle w:val="Paragraphedeliste"/>
        <w:numPr>
          <w:ilvl w:val="0"/>
          <w:numId w:val="36"/>
        </w:numPr>
        <w:spacing w:after="200" w:line="276" w:lineRule="auto"/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EA344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Les modalités de dépôt </w:t>
      </w:r>
    </w:p>
    <w:p w:rsidR="00EA344F" w:rsidRDefault="002C531B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2C531B">
        <w:rPr>
          <w:rFonts w:ascii="Bookman Old Style" w:eastAsia="Calibri" w:hAnsi="Bookman Old Style"/>
          <w:bCs/>
          <w:sz w:val="22"/>
          <w:szCs w:val="22"/>
          <w:lang w:eastAsia="en-US"/>
        </w:rPr>
        <w:t>Les demandes de postes ASTP sont à saisir</w:t>
      </w:r>
      <w:r w:rsidR="00EA344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par l’établissement recruteur. L’établissements recruteur pourra inviter l’établissement partenaire et le </w:t>
      </w:r>
      <w:r w:rsidR="00F24F77">
        <w:rPr>
          <w:rFonts w:ascii="Bookman Old Style" w:eastAsia="Calibri" w:hAnsi="Bookman Old Style"/>
          <w:bCs/>
          <w:sz w:val="22"/>
          <w:szCs w:val="22"/>
          <w:lang w:eastAsia="en-US"/>
        </w:rPr>
        <w:t>candidat</w:t>
      </w:r>
      <w:r w:rsidR="00EA344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à compléter le</w:t>
      </w:r>
      <w:r w:rsidR="003D4D7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urs paragraphes 1 et 3 </w:t>
      </w:r>
      <w:r w:rsidR="00EA344F">
        <w:rPr>
          <w:rFonts w:ascii="Bookman Old Style" w:eastAsia="Calibri" w:hAnsi="Bookman Old Style"/>
          <w:bCs/>
          <w:sz w:val="22"/>
          <w:szCs w:val="22"/>
          <w:lang w:eastAsia="en-US"/>
        </w:rPr>
        <w:t>(</w:t>
      </w:r>
      <w:proofErr w:type="spellStart"/>
      <w:r w:rsidR="00EA344F">
        <w:rPr>
          <w:rFonts w:ascii="Bookman Old Style" w:eastAsia="Calibri" w:hAnsi="Bookman Old Style"/>
          <w:bCs/>
          <w:sz w:val="22"/>
          <w:szCs w:val="22"/>
          <w:lang w:eastAsia="en-US"/>
        </w:rPr>
        <w:t>cf</w:t>
      </w:r>
      <w:proofErr w:type="spellEnd"/>
      <w:r w:rsidR="00EA344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paragraphe</w:t>
      </w:r>
      <w:r w:rsidR="00F24F7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IV de la</w:t>
      </w:r>
      <w:r w:rsidR="00EA344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note explicative).</w:t>
      </w:r>
    </w:p>
    <w:p w:rsidR="002C531B" w:rsidRDefault="002C1BC3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Les dossiers doivent être déposés </w:t>
      </w:r>
      <w:r w:rsidR="002C531B" w:rsidRPr="002C531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au plus tard le </w:t>
      </w:r>
      <w:r w:rsidR="00EA344F">
        <w:rPr>
          <w:rFonts w:ascii="Bookman Old Style" w:eastAsia="Calibri" w:hAnsi="Bookman Old Style"/>
          <w:bCs/>
          <w:sz w:val="22"/>
          <w:szCs w:val="22"/>
          <w:lang w:eastAsia="en-US"/>
        </w:rPr>
        <w:t>30 avril 2023</w:t>
      </w:r>
      <w:r w:rsidR="002C531B" w:rsidRPr="002C531B">
        <w:rPr>
          <w:rFonts w:ascii="Bookman Old Style" w:eastAsia="Calibri" w:hAnsi="Bookman Old Style"/>
          <w:bCs/>
          <w:sz w:val="22"/>
          <w:szCs w:val="22"/>
          <w:lang w:eastAsia="en-US"/>
        </w:rPr>
        <w:t>, en cliquant sur le lien suivant (de préférence via le navigateur Google chrome ou Mozilla Firefox)</w:t>
      </w:r>
      <w:r w:rsidR="002C531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 : </w:t>
      </w:r>
    </w:p>
    <w:p w:rsidR="00FF611C" w:rsidRDefault="00FF611C" w:rsidP="002C1BC3">
      <w:pPr>
        <w:spacing w:after="200" w:line="276" w:lineRule="auto"/>
        <w:jc w:val="center"/>
        <w:rPr>
          <w:rFonts w:ascii="Bookman Old Style" w:eastAsia="Calibri" w:hAnsi="Bookman Old Style"/>
          <w:bCs/>
          <w:sz w:val="22"/>
          <w:szCs w:val="22"/>
          <w:lang w:eastAsia="en-US"/>
        </w:rPr>
      </w:pPr>
      <w:hyperlink r:id="rId9" w:history="1">
        <w:r w:rsidRPr="008A051A">
          <w:rPr>
            <w:rStyle w:val="Lienhypertexte"/>
            <w:rFonts w:ascii="Bookman Old Style" w:eastAsia="Calibri" w:hAnsi="Bookman Old Style"/>
            <w:bCs/>
            <w:sz w:val="22"/>
            <w:szCs w:val="22"/>
            <w:lang w:eastAsia="en-US"/>
          </w:rPr>
          <w:t>https://www.demarches-simplifiees.fr/commencer/appel-a-candidatures-assistants-specialistes-a-tem</w:t>
        </w:r>
      </w:hyperlink>
    </w:p>
    <w:p w:rsidR="002C531B" w:rsidRPr="002C1BC3" w:rsidRDefault="002C531B" w:rsidP="002C1BC3">
      <w:pPr>
        <w:spacing w:after="200" w:line="276" w:lineRule="auto"/>
        <w:jc w:val="center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bookmarkStart w:id="0" w:name="_GoBack"/>
      <w:bookmarkEnd w:id="0"/>
      <w:r w:rsidRPr="002C1BC3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Aucun dossier papier ou reçu par mail ne sera pris en compte.</w:t>
      </w:r>
    </w:p>
    <w:p w:rsidR="002C531B" w:rsidRDefault="002C531B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2C531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Au préalable, il est nécessaire de vous munir du Numéro de SIRET de votre établissement. Les dossiers doivent être saisis </w:t>
      </w:r>
      <w:r w:rsidRPr="002C531B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uniquement par l’établissement hospitalier recruteur, avec l’accord de l’établissement partenaire</w:t>
      </w:r>
      <w:r w:rsidRPr="002C531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(lettre d’engagement proposé en annexe).</w:t>
      </w:r>
    </w:p>
    <w:p w:rsidR="002C1BC3" w:rsidRDefault="002C531B" w:rsidP="002C1BC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2C531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Les dossiers de candidatures complétés et déposés en ligne devront être constitués des pièces suivantes obligatoires : </w:t>
      </w:r>
    </w:p>
    <w:p w:rsidR="002C531B" w:rsidRPr="002C1BC3" w:rsidRDefault="002C531B" w:rsidP="002C1BC3">
      <w:pPr>
        <w:pStyle w:val="Paragraphedeliste"/>
        <w:numPr>
          <w:ilvl w:val="0"/>
          <w:numId w:val="35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2C1BC3">
        <w:rPr>
          <w:rFonts w:ascii="Bookman Old Style" w:eastAsia="Calibri" w:hAnsi="Bookman Old Style"/>
          <w:bCs/>
          <w:sz w:val="22"/>
          <w:szCs w:val="22"/>
          <w:lang w:eastAsia="en-US"/>
        </w:rPr>
        <w:t>CV</w:t>
      </w:r>
      <w:r w:rsidR="00EA344F" w:rsidRPr="002C1BC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du candidat</w:t>
      </w:r>
    </w:p>
    <w:p w:rsidR="00EA344F" w:rsidRDefault="002C531B" w:rsidP="00EA344F">
      <w:pPr>
        <w:pStyle w:val="Paragraphedeliste"/>
        <w:numPr>
          <w:ilvl w:val="0"/>
          <w:numId w:val="35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EA344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Le projet professionnel du candidat : lettre de motivation du candidat </w:t>
      </w:r>
      <w:r w:rsidR="00EA344F" w:rsidRPr="00EA344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au poste d’ASTP et précisant ses perspectives professionnelles. </w:t>
      </w:r>
    </w:p>
    <w:p w:rsidR="00EA344F" w:rsidRPr="00EA344F" w:rsidRDefault="00EA344F" w:rsidP="00EA344F">
      <w:pPr>
        <w:pStyle w:val="Paragraphedeliste"/>
        <w:numPr>
          <w:ilvl w:val="0"/>
          <w:numId w:val="35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Attestation à l’ordre des médecins et n° RPPS ou d’une date d</w:t>
      </w:r>
      <w:r w:rsidR="002C1BC3">
        <w:rPr>
          <w:rFonts w:ascii="Bookman Old Style" w:eastAsia="Calibri" w:hAnsi="Bookman Old Style"/>
          <w:bCs/>
          <w:sz w:val="22"/>
          <w:szCs w:val="22"/>
          <w:lang w:eastAsia="en-US"/>
        </w:rPr>
        <w:t>e soutenance et date d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’inscription prévisionnelle </w:t>
      </w:r>
      <w:r w:rsidR="002C1BC3">
        <w:rPr>
          <w:rFonts w:ascii="Bookman Old Style" w:eastAsia="Calibri" w:hAnsi="Bookman Old Style"/>
          <w:bCs/>
          <w:sz w:val="22"/>
          <w:szCs w:val="22"/>
          <w:lang w:eastAsia="en-US"/>
        </w:rPr>
        <w:t>à l’ordre.</w:t>
      </w:r>
    </w:p>
    <w:p w:rsidR="002C531B" w:rsidRDefault="00EA344F" w:rsidP="001E06A5">
      <w:pPr>
        <w:pStyle w:val="Paragraphedeliste"/>
        <w:numPr>
          <w:ilvl w:val="0"/>
          <w:numId w:val="35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La lettre d’engagement signée par les 2 établissements partenaires.</w:t>
      </w:r>
    </w:p>
    <w:p w:rsidR="00EA344F" w:rsidRPr="00EA344F" w:rsidRDefault="00EA344F" w:rsidP="00EA344F">
      <w:pPr>
        <w:spacing w:after="200" w:line="276" w:lineRule="auto"/>
        <w:ind w:left="360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EA344F" w:rsidRPr="00EA344F" w:rsidRDefault="00EA344F" w:rsidP="00EA344F">
      <w:pPr>
        <w:pStyle w:val="Paragraphedeliste"/>
        <w:numPr>
          <w:ilvl w:val="0"/>
          <w:numId w:val="36"/>
        </w:numPr>
        <w:spacing w:after="200" w:line="276" w:lineRule="auto"/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EA344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Commission de priorisation</w:t>
      </w:r>
    </w:p>
    <w:p w:rsidR="00F75558" w:rsidRPr="005A47AA" w:rsidRDefault="002C1BC3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Les dossiers seront instruits et priorisés lors</w:t>
      </w:r>
      <w:r w:rsidR="00800D4E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d’une commission régionale 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se réunira</w:t>
      </w:r>
      <w:r w:rsidR="00800D4E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0E009D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en</w:t>
      </w:r>
      <w:r w:rsidR="00FF350F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FB1396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juin 2023</w:t>
      </w:r>
      <w:r w:rsidR="0016168D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. </w:t>
      </w:r>
    </w:p>
    <w:p w:rsidR="00800D4E" w:rsidRPr="005A47AA" w:rsidRDefault="0016168D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Cette commission sera composée des</w:t>
      </w:r>
      <w:r w:rsidR="00800D4E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 </w:t>
      </w:r>
      <w:r w:rsidR="00FF350F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représentants des </w:t>
      </w:r>
      <w:r w:rsidR="00F75558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GHT (directeur de l’établissement support et le président de la CMG ou son représentant), pour le</w:t>
      </w:r>
      <w:r w:rsidR="00D00807">
        <w:rPr>
          <w:rFonts w:ascii="Bookman Old Style" w:eastAsia="Calibri" w:hAnsi="Bookman Old Style"/>
          <w:bCs/>
          <w:sz w:val="22"/>
          <w:szCs w:val="22"/>
          <w:lang w:eastAsia="en-US"/>
        </w:rPr>
        <w:t>s</w:t>
      </w:r>
      <w:r w:rsidR="00F75558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GHT </w:t>
      </w:r>
      <w:r w:rsidR="00D00807">
        <w:rPr>
          <w:rFonts w:ascii="Bookman Old Style" w:eastAsia="Calibri" w:hAnsi="Bookman Old Style"/>
          <w:bCs/>
          <w:sz w:val="22"/>
          <w:szCs w:val="22"/>
          <w:lang w:eastAsia="en-US"/>
        </w:rPr>
        <w:lastRenderedPageBreak/>
        <w:t xml:space="preserve">du 06 et du </w:t>
      </w:r>
      <w:r w:rsidR="00F75558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13 (le directeur de l’établissement support, le président de la CMG et un représentant médical du groupement), la FHF, l</w:t>
      </w:r>
      <w:r w:rsidR="00FF350F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es facultés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et l’ARS</w:t>
      </w:r>
      <w:r w:rsidR="00FF350F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:rsidR="00FF350F" w:rsidRPr="005A47AA" w:rsidRDefault="00FF350F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Critères de priorisation des candidatures :</w:t>
      </w:r>
    </w:p>
    <w:p w:rsidR="00FF350F" w:rsidRPr="005A47AA" w:rsidRDefault="004D6257" w:rsidP="004D6257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Critères territoriaux et </w:t>
      </w:r>
      <w:r w:rsidR="005E36FC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besoins identifiés dans les </w:t>
      </w:r>
      <w:r w:rsidR="00FF350F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GHT</w:t>
      </w:r>
    </w:p>
    <w:p w:rsidR="004D6257" w:rsidRPr="005A47AA" w:rsidRDefault="004D6257" w:rsidP="004D6257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Critères liés aux spécialités</w:t>
      </w:r>
      <w:r w:rsidR="005E36FC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en tension</w:t>
      </w:r>
    </w:p>
    <w:p w:rsidR="00AB41A9" w:rsidRPr="005A47AA" w:rsidRDefault="002E317D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A priori, à l’issu</w:t>
      </w:r>
      <w:r w:rsidR="00E53CD3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e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des 2 ans d’assistanat à temps partagé, l’établissement devrait proposer un poste pérenne de façon à maintenir et développer à long terme le travail initié lors de la période de post internat.</w:t>
      </w:r>
    </w:p>
    <w:p w:rsidR="00270B4A" w:rsidRDefault="005D62EC" w:rsidP="001E06A5">
      <w:pPr>
        <w:spacing w:after="200" w:line="276" w:lineRule="auto"/>
        <w:jc w:val="both"/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</w:pPr>
      <w:r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u w:val="single"/>
          <w:lang w:eastAsia="en-US"/>
        </w:rPr>
        <w:t>Attention</w:t>
      </w:r>
      <w:r w:rsidR="001B4CCA"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 :</w:t>
      </w:r>
      <w:r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 les</w:t>
      </w:r>
      <w:r w:rsidR="001B4CCA"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 candidatures de</w:t>
      </w:r>
      <w:r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 praticiens n’ayant pas un diplôme reconnu pour exercer en France</w:t>
      </w:r>
      <w:r w:rsidR="001B4CCA"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 au moment de la commission régionale de priorisation n</w:t>
      </w:r>
      <w:r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e pourront pas être retenu</w:t>
      </w:r>
      <w:r w:rsidR="001B4CCA"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e</w:t>
      </w:r>
      <w:r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s.</w:t>
      </w:r>
      <w:r w:rsidR="001B4CCA"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 Par conséquent la procédure d’autorisation d’exercice devra être validée</w:t>
      </w:r>
      <w:r w:rsidR="00FB1396"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 </w:t>
      </w:r>
      <w:r w:rsidR="00F75558"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avant </w:t>
      </w:r>
      <w:r w:rsid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la commission de priorisation (</w:t>
      </w:r>
      <w:r w:rsidR="00F75558"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juin</w:t>
      </w:r>
      <w:r w:rsidR="00FB1396"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 </w:t>
      </w:r>
      <w:r w:rsidR="00B239B7"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2023</w:t>
      </w:r>
      <w:r w:rsid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)</w:t>
      </w:r>
      <w:r w:rsidR="00B239B7"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.</w:t>
      </w:r>
    </w:p>
    <w:p w:rsidR="00B239B7" w:rsidRPr="00B239B7" w:rsidRDefault="00B239B7" w:rsidP="001E06A5">
      <w:pPr>
        <w:spacing w:after="200" w:line="276" w:lineRule="auto"/>
        <w:jc w:val="both"/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</w:pPr>
    </w:p>
    <w:p w:rsidR="00727E0A" w:rsidRPr="00D41D20" w:rsidRDefault="00727E0A" w:rsidP="00727E0A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</w:pPr>
      <w:r w:rsidRPr="00D41D20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 xml:space="preserve">Le </w:t>
      </w:r>
      <w:r w:rsidR="00D41D20" w:rsidRPr="00D41D20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 xml:space="preserve">suivi et l’évaluation </w:t>
      </w:r>
    </w:p>
    <w:p w:rsidR="009D2486" w:rsidRPr="005A47AA" w:rsidRDefault="009D2486" w:rsidP="002F2855">
      <w:pPr>
        <w:spacing w:after="200" w:line="276" w:lineRule="auto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Un rapport </w:t>
      </w:r>
      <w:r w:rsidR="0016168D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d’évaluation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sera demandé aux ASTP à la fin de leur contrat (modèle ARS).  </w:t>
      </w:r>
    </w:p>
    <w:p w:rsidR="002E317D" w:rsidRPr="005A47AA" w:rsidRDefault="004D6257" w:rsidP="002F2855">
      <w:pPr>
        <w:spacing w:after="200" w:line="276" w:lineRule="auto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Une e</w:t>
      </w:r>
      <w:r w:rsidR="002E317D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nquête auprès des </w:t>
      </w:r>
      <w:r w:rsidR="00E53CD3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structures d’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accueil</w:t>
      </w:r>
      <w:r w:rsidR="002E317D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sera </w:t>
      </w:r>
      <w:r w:rsidR="005E6F0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également 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menée </w:t>
      </w:r>
      <w:r w:rsidR="002E317D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pour connaitre :</w:t>
      </w:r>
    </w:p>
    <w:p w:rsidR="00D41D20" w:rsidRDefault="00D41D20" w:rsidP="00D41D20">
      <w:pPr>
        <w:pStyle w:val="Paragraphedeliste"/>
        <w:numPr>
          <w:ilvl w:val="0"/>
          <w:numId w:val="37"/>
        </w:numPr>
        <w:spacing w:after="200" w:line="276" w:lineRule="auto"/>
        <w:rPr>
          <w:rFonts w:ascii="Bookman Old Style" w:eastAsia="Calibri" w:hAnsi="Bookman Old Style"/>
          <w:bCs/>
          <w:sz w:val="22"/>
          <w:szCs w:val="22"/>
          <w:lang w:eastAsia="en-US"/>
        </w:rPr>
      </w:pPr>
      <w:proofErr w:type="gramStart"/>
      <w:r>
        <w:rPr>
          <w:rFonts w:ascii="Bookman Old Style" w:eastAsia="Calibri" w:hAnsi="Bookman Old Style"/>
          <w:bCs/>
          <w:sz w:val="22"/>
          <w:szCs w:val="22"/>
          <w:lang w:eastAsia="en-US"/>
        </w:rPr>
        <w:t>l</w:t>
      </w:r>
      <w:r w:rsidR="002E317D"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>es</w:t>
      </w:r>
      <w:proofErr w:type="gramEnd"/>
      <w:r w:rsidR="002E317D"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suites données aux contr</w:t>
      </w:r>
      <w:r w:rsidR="001E06A5"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>ats des ASTP afin de vérifier qu</w:t>
      </w:r>
      <w:r w:rsidR="002E317D"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e cela a favorisé le recrutement </w:t>
      </w:r>
      <w:r w:rsidR="005E6F0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de praticiens médicaux </w:t>
      </w:r>
      <w:r w:rsidR="002E317D"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>des centres hospitaliers.</w:t>
      </w:r>
    </w:p>
    <w:p w:rsidR="00D41D20" w:rsidRPr="00D41D20" w:rsidRDefault="00D41D20" w:rsidP="00D41D20">
      <w:pPr>
        <w:pStyle w:val="Paragraphedeliste"/>
        <w:spacing w:after="200" w:line="276" w:lineRule="auto"/>
        <w:ind w:left="1155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5A47AA" w:rsidRPr="00D41D20" w:rsidRDefault="00FF350F" w:rsidP="00D41D20">
      <w:pPr>
        <w:pStyle w:val="Paragraphedeliste"/>
        <w:numPr>
          <w:ilvl w:val="0"/>
          <w:numId w:val="37"/>
        </w:numPr>
        <w:spacing w:after="200" w:line="276" w:lineRule="auto"/>
        <w:rPr>
          <w:rFonts w:ascii="Bookman Old Style" w:eastAsia="Calibri" w:hAnsi="Bookman Old Style"/>
          <w:bCs/>
          <w:sz w:val="22"/>
          <w:szCs w:val="22"/>
          <w:lang w:eastAsia="en-US"/>
        </w:rPr>
      </w:pPr>
      <w:proofErr w:type="gramStart"/>
      <w:r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>l’articulation</w:t>
      </w:r>
      <w:proofErr w:type="gramEnd"/>
      <w:r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entre les deux </w:t>
      </w:r>
      <w:r w:rsidR="00C95AA1"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>structures d’accueil</w:t>
      </w:r>
    </w:p>
    <w:p w:rsidR="00D41D20" w:rsidRDefault="00D41D20" w:rsidP="00D41D20">
      <w:pPr>
        <w:spacing w:after="200" w:line="276" w:lineRule="auto"/>
        <w:ind w:firstLine="360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B239B7" w:rsidRPr="00D41D20" w:rsidRDefault="00B239B7" w:rsidP="00B239B7">
      <w:pPr>
        <w:pStyle w:val="Paragraphedeliste"/>
        <w:numPr>
          <w:ilvl w:val="0"/>
          <w:numId w:val="13"/>
        </w:numPr>
        <w:spacing w:after="200" w:line="276" w:lineRule="auto"/>
        <w:jc w:val="both"/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</w:pPr>
      <w:r w:rsidRPr="00D41D20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Cas particulier</w:t>
      </w:r>
    </w:p>
    <w:p w:rsidR="00B239B7" w:rsidRDefault="00B239B7" w:rsidP="00B239B7">
      <w:pPr>
        <w:pStyle w:val="Paragraphedeliste"/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B239B7" w:rsidRDefault="00B239B7" w:rsidP="00B239B7">
      <w:pPr>
        <w:pStyle w:val="Paragraphedeliste"/>
        <w:numPr>
          <w:ilvl w:val="0"/>
          <w:numId w:val="33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Remplacement d’un candidat suite à un désistement </w:t>
      </w:r>
    </w:p>
    <w:p w:rsidR="00B239B7" w:rsidRPr="00B239B7" w:rsidRDefault="00B239B7" w:rsidP="00B239B7">
      <w:pPr>
        <w:spacing w:after="200" w:line="276" w:lineRule="auto"/>
        <w:ind w:left="360"/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B239B7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Informer immédiatement l’ARS</w:t>
      </w:r>
    </w:p>
    <w:p w:rsidR="00B239B7" w:rsidRDefault="00B239B7" w:rsidP="00B239B7">
      <w:pPr>
        <w:spacing w:after="200" w:line="276" w:lineRule="auto"/>
        <w:ind w:left="360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Possibilité de proposer dans les meilleurs délais un nouveau candidat. L’établissement de santé recruteur devra s’assurer que toutes les parties sont d’</w:t>
      </w:r>
      <w:r w:rsidR="00E92B80">
        <w:rPr>
          <w:rFonts w:ascii="Bookman Old Style" w:eastAsia="Calibri" w:hAnsi="Bookman Old Style"/>
          <w:bCs/>
          <w:sz w:val="22"/>
          <w:szCs w:val="22"/>
          <w:lang w:eastAsia="en-US"/>
        </w:rPr>
        <w:t>accords (les chefs de service et la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structure partenaire).</w:t>
      </w:r>
    </w:p>
    <w:p w:rsidR="00B239B7" w:rsidRDefault="00B239B7" w:rsidP="00B239B7">
      <w:pPr>
        <w:spacing w:after="200" w:line="276" w:lineRule="auto"/>
        <w:ind w:left="360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L’établissement de santé recruteur devra transmettre à l’ARS pour examen :</w:t>
      </w:r>
    </w:p>
    <w:p w:rsidR="00B239B7" w:rsidRDefault="00B239B7" w:rsidP="00B239B7">
      <w:pPr>
        <w:pStyle w:val="Paragraphedeliste"/>
        <w:numPr>
          <w:ilvl w:val="0"/>
          <w:numId w:val="34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Le motif de désistement de l’ancien candidat</w:t>
      </w:r>
    </w:p>
    <w:p w:rsidR="00B239B7" w:rsidRDefault="00B239B7" w:rsidP="00B239B7">
      <w:pPr>
        <w:pStyle w:val="Paragraphedeliste"/>
        <w:numPr>
          <w:ilvl w:val="0"/>
          <w:numId w:val="34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CV</w:t>
      </w:r>
    </w:p>
    <w:p w:rsidR="00B239B7" w:rsidRDefault="00B239B7" w:rsidP="00B239B7">
      <w:pPr>
        <w:pStyle w:val="Paragraphedeliste"/>
        <w:numPr>
          <w:ilvl w:val="0"/>
          <w:numId w:val="34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70084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Obligatoire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 : n° RPPS d’inscription à l’ordre des médecins</w:t>
      </w:r>
    </w:p>
    <w:p w:rsidR="00B239B7" w:rsidRPr="00B239B7" w:rsidRDefault="00B239B7" w:rsidP="00B239B7">
      <w:pPr>
        <w:pStyle w:val="Paragraphedeliste"/>
        <w:spacing w:after="200" w:line="276" w:lineRule="auto"/>
        <w:ind w:left="1440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B239B7" w:rsidRDefault="00B239B7" w:rsidP="00B239B7">
      <w:pPr>
        <w:pStyle w:val="Paragraphedeliste"/>
        <w:numPr>
          <w:ilvl w:val="0"/>
          <w:numId w:val="33"/>
        </w:numPr>
        <w:spacing w:after="200" w:line="276" w:lineRule="auto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Report de prise de poste du candidat retenu</w:t>
      </w:r>
    </w:p>
    <w:p w:rsidR="00B239B7" w:rsidRPr="00B239B7" w:rsidRDefault="00B239B7" w:rsidP="00E92B80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B239B7">
        <w:rPr>
          <w:rFonts w:ascii="Bookman Old Style" w:eastAsia="Calibri" w:hAnsi="Bookman Old Style"/>
          <w:bCs/>
          <w:sz w:val="22"/>
          <w:szCs w:val="22"/>
          <w:lang w:eastAsia="en-US"/>
        </w:rPr>
        <w:lastRenderedPageBreak/>
        <w:t xml:space="preserve"> L’établissement de santé recruteur</w:t>
      </w:r>
      <w:r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 devra i</w:t>
      </w:r>
      <w:r w:rsidRPr="00B239B7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nformer immédiatement l’ARS</w:t>
      </w:r>
      <w:r w:rsidRPr="00B239B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du motif de ce report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et donner une date de prise de poste, à défaut le financement ne sera pas délégué.</w:t>
      </w:r>
    </w:p>
    <w:p w:rsidR="004C4614" w:rsidRPr="005A47AA" w:rsidRDefault="004C4614" w:rsidP="00E92B80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:rsidR="004C4614" w:rsidRDefault="004C4614" w:rsidP="001E2FED">
      <w:pPr>
        <w:jc w:val="both"/>
        <w:rPr>
          <w:rFonts w:ascii="Bookman Old Style" w:hAnsi="Bookman Old Style" w:cs="Arial"/>
          <w:i/>
          <w:sz w:val="20"/>
          <w:szCs w:val="20"/>
        </w:rPr>
      </w:pPr>
    </w:p>
    <w:p w:rsidR="004C4614" w:rsidRDefault="004C4614" w:rsidP="001E2FED">
      <w:pPr>
        <w:jc w:val="both"/>
        <w:rPr>
          <w:rFonts w:ascii="Bookman Old Style" w:hAnsi="Bookman Old Style" w:cs="Arial"/>
          <w:i/>
          <w:sz w:val="20"/>
          <w:szCs w:val="20"/>
        </w:rPr>
      </w:pPr>
    </w:p>
    <w:p w:rsidR="004C4614" w:rsidRDefault="004C4614" w:rsidP="001E2FED">
      <w:pPr>
        <w:jc w:val="both"/>
        <w:rPr>
          <w:rFonts w:ascii="Bookman Old Style" w:hAnsi="Bookman Old Style" w:cs="Arial"/>
          <w:i/>
          <w:sz w:val="20"/>
          <w:szCs w:val="20"/>
        </w:rPr>
      </w:pPr>
    </w:p>
    <w:p w:rsidR="004C4614" w:rsidRDefault="004C4614" w:rsidP="001E2FED">
      <w:pPr>
        <w:jc w:val="both"/>
        <w:rPr>
          <w:rFonts w:ascii="Bookman Old Style" w:hAnsi="Bookman Old Style" w:cs="Arial"/>
          <w:i/>
          <w:sz w:val="20"/>
          <w:szCs w:val="20"/>
        </w:rPr>
      </w:pPr>
    </w:p>
    <w:sectPr w:rsidR="004C4614" w:rsidSect="009D2486">
      <w:footerReference w:type="default" r:id="rId10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4F2" w:rsidRDefault="008844F2">
      <w:r>
        <w:separator/>
      </w:r>
    </w:p>
  </w:endnote>
  <w:endnote w:type="continuationSeparator" w:id="0">
    <w:p w:rsidR="008844F2" w:rsidRDefault="0088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51" w:rsidRDefault="002F1651" w:rsidP="009E2730">
    <w:pPr>
      <w:pStyle w:val="Pieddepage"/>
      <w:rPr>
        <w:rFonts w:ascii="Arial" w:hAnsi="Arial" w:cs="Arial"/>
        <w:snapToGrid w:val="0"/>
        <w:sz w:val="20"/>
        <w:szCs w:val="20"/>
      </w:rPr>
    </w:pPr>
  </w:p>
  <w:p w:rsidR="002F1651" w:rsidRDefault="002F1651" w:rsidP="009E2730">
    <w:pPr>
      <w:pStyle w:val="Pieddepage"/>
      <w:rPr>
        <w:rStyle w:val="Numrodepage"/>
        <w:rFonts w:ascii="Arial" w:hAnsi="Arial" w:cs="Arial"/>
        <w:sz w:val="20"/>
        <w:szCs w:val="20"/>
      </w:rPr>
    </w:pPr>
    <w:r w:rsidRPr="00C64F00">
      <w:rPr>
        <w:rFonts w:ascii="Arial" w:hAnsi="Arial" w:cs="Arial"/>
        <w:snapToGrid w:val="0"/>
        <w:sz w:val="20"/>
        <w:szCs w:val="20"/>
      </w:rPr>
      <w:tab/>
    </w:r>
    <w:r w:rsidRPr="00C64F00">
      <w:rPr>
        <w:rFonts w:ascii="Arial" w:hAnsi="Arial" w:cs="Arial"/>
        <w:snapToGrid w:val="0"/>
        <w:sz w:val="20"/>
        <w:szCs w:val="20"/>
      </w:rPr>
      <w:tab/>
    </w:r>
    <w:r w:rsidRPr="00C64F00">
      <w:rPr>
        <w:rStyle w:val="Numrodepage"/>
        <w:rFonts w:ascii="Arial" w:hAnsi="Arial" w:cs="Arial"/>
        <w:sz w:val="20"/>
        <w:szCs w:val="20"/>
      </w:rPr>
      <w:fldChar w:fldCharType="begin"/>
    </w:r>
    <w:r w:rsidRPr="00C64F0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64F00">
      <w:rPr>
        <w:rStyle w:val="Numrodepage"/>
        <w:rFonts w:ascii="Arial" w:hAnsi="Arial" w:cs="Arial"/>
        <w:sz w:val="20"/>
        <w:szCs w:val="20"/>
      </w:rPr>
      <w:fldChar w:fldCharType="separate"/>
    </w:r>
    <w:r w:rsidR="00FF611C">
      <w:rPr>
        <w:rStyle w:val="Numrodepage"/>
        <w:rFonts w:ascii="Arial" w:hAnsi="Arial" w:cs="Arial"/>
        <w:noProof/>
        <w:sz w:val="20"/>
        <w:szCs w:val="20"/>
      </w:rPr>
      <w:t>7</w:t>
    </w:r>
    <w:r w:rsidRPr="00C64F00">
      <w:rPr>
        <w:rStyle w:val="Numrodepage"/>
        <w:rFonts w:ascii="Arial" w:hAnsi="Arial" w:cs="Arial"/>
        <w:sz w:val="20"/>
        <w:szCs w:val="20"/>
      </w:rPr>
      <w:fldChar w:fldCharType="end"/>
    </w:r>
    <w:r w:rsidRPr="00C64F00">
      <w:rPr>
        <w:rStyle w:val="Numrodepage"/>
        <w:rFonts w:ascii="Arial" w:hAnsi="Arial" w:cs="Arial"/>
        <w:sz w:val="20"/>
        <w:szCs w:val="20"/>
      </w:rPr>
      <w:t>/</w:t>
    </w:r>
    <w:r w:rsidRPr="00C64F00">
      <w:rPr>
        <w:rStyle w:val="Numrodepage"/>
        <w:rFonts w:ascii="Arial" w:hAnsi="Arial" w:cs="Arial"/>
        <w:sz w:val="20"/>
        <w:szCs w:val="20"/>
      </w:rPr>
      <w:fldChar w:fldCharType="begin"/>
    </w:r>
    <w:r w:rsidRPr="00C64F0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64F00">
      <w:rPr>
        <w:rStyle w:val="Numrodepage"/>
        <w:rFonts w:ascii="Arial" w:hAnsi="Arial" w:cs="Arial"/>
        <w:sz w:val="20"/>
        <w:szCs w:val="20"/>
      </w:rPr>
      <w:fldChar w:fldCharType="separate"/>
    </w:r>
    <w:r w:rsidR="00FF611C">
      <w:rPr>
        <w:rStyle w:val="Numrodepage"/>
        <w:rFonts w:ascii="Arial" w:hAnsi="Arial" w:cs="Arial"/>
        <w:noProof/>
        <w:sz w:val="20"/>
        <w:szCs w:val="20"/>
      </w:rPr>
      <w:t>7</w:t>
    </w:r>
    <w:r w:rsidRPr="00C64F00">
      <w:rPr>
        <w:rStyle w:val="Numrodepage"/>
        <w:rFonts w:ascii="Arial" w:hAnsi="Arial" w:cs="Arial"/>
        <w:sz w:val="20"/>
        <w:szCs w:val="20"/>
      </w:rPr>
      <w:fldChar w:fldCharType="end"/>
    </w:r>
  </w:p>
  <w:p w:rsidR="002F1651" w:rsidRPr="00C64F00" w:rsidRDefault="002F1651" w:rsidP="009E2730">
    <w:pPr>
      <w:pStyle w:val="Pieddepag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4F2" w:rsidRDefault="008844F2">
      <w:r>
        <w:separator/>
      </w:r>
    </w:p>
  </w:footnote>
  <w:footnote w:type="continuationSeparator" w:id="0">
    <w:p w:rsidR="008844F2" w:rsidRDefault="0088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884"/>
    <w:multiLevelType w:val="hybridMultilevel"/>
    <w:tmpl w:val="FFE21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19D5"/>
    <w:multiLevelType w:val="hybridMultilevel"/>
    <w:tmpl w:val="CE4014A2"/>
    <w:lvl w:ilvl="0" w:tplc="3E56EF9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574"/>
    <w:multiLevelType w:val="hybridMultilevel"/>
    <w:tmpl w:val="4CF01CE6"/>
    <w:lvl w:ilvl="0" w:tplc="1A9C27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3790"/>
    <w:multiLevelType w:val="hybridMultilevel"/>
    <w:tmpl w:val="C610F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1D8"/>
    <w:multiLevelType w:val="hybridMultilevel"/>
    <w:tmpl w:val="DEFE49BC"/>
    <w:lvl w:ilvl="0" w:tplc="3D0C3F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629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7EA9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8E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A428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E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22C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E9F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643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23532"/>
    <w:multiLevelType w:val="hybridMultilevel"/>
    <w:tmpl w:val="E9F4E7F0"/>
    <w:lvl w:ilvl="0" w:tplc="E2FEEBA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E6002"/>
    <w:multiLevelType w:val="hybridMultilevel"/>
    <w:tmpl w:val="DE82CBBA"/>
    <w:lvl w:ilvl="0" w:tplc="8D300DC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96E4F"/>
    <w:multiLevelType w:val="hybridMultilevel"/>
    <w:tmpl w:val="E55E09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259B7"/>
    <w:multiLevelType w:val="hybridMultilevel"/>
    <w:tmpl w:val="282A4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E30CE"/>
    <w:multiLevelType w:val="hybridMultilevel"/>
    <w:tmpl w:val="E5D81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87B5E"/>
    <w:multiLevelType w:val="multilevel"/>
    <w:tmpl w:val="77BCC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" w15:restartNumberingAfterBreak="0">
    <w:nsid w:val="1D1F735C"/>
    <w:multiLevelType w:val="hybridMultilevel"/>
    <w:tmpl w:val="BE0C6C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92799"/>
    <w:multiLevelType w:val="hybridMultilevel"/>
    <w:tmpl w:val="C5106B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5263C"/>
    <w:multiLevelType w:val="multilevel"/>
    <w:tmpl w:val="F2182C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38247423"/>
    <w:multiLevelType w:val="hybridMultilevel"/>
    <w:tmpl w:val="60A65C2E"/>
    <w:lvl w:ilvl="0" w:tplc="8D300DCC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8F010D"/>
    <w:multiLevelType w:val="multilevel"/>
    <w:tmpl w:val="11343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EAF0DAF"/>
    <w:multiLevelType w:val="hybridMultilevel"/>
    <w:tmpl w:val="3C4229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838DA"/>
    <w:multiLevelType w:val="hybridMultilevel"/>
    <w:tmpl w:val="975AFE5E"/>
    <w:lvl w:ilvl="0" w:tplc="ABC093E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54911"/>
    <w:multiLevelType w:val="hybridMultilevel"/>
    <w:tmpl w:val="049C5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33919"/>
    <w:multiLevelType w:val="hybridMultilevel"/>
    <w:tmpl w:val="E7BCC2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F341C"/>
    <w:multiLevelType w:val="hybridMultilevel"/>
    <w:tmpl w:val="9AF09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3D87"/>
    <w:multiLevelType w:val="hybridMultilevel"/>
    <w:tmpl w:val="CE86685C"/>
    <w:lvl w:ilvl="0" w:tplc="5876FC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74EEB"/>
    <w:multiLevelType w:val="hybridMultilevel"/>
    <w:tmpl w:val="F28C83D6"/>
    <w:lvl w:ilvl="0" w:tplc="4E2C468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D6885"/>
    <w:multiLevelType w:val="hybridMultilevel"/>
    <w:tmpl w:val="06089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808C1"/>
    <w:multiLevelType w:val="hybridMultilevel"/>
    <w:tmpl w:val="F2A0A7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608F3"/>
    <w:multiLevelType w:val="hybridMultilevel"/>
    <w:tmpl w:val="E19A8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93259"/>
    <w:multiLevelType w:val="hybridMultilevel"/>
    <w:tmpl w:val="2C424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779F5"/>
    <w:multiLevelType w:val="hybridMultilevel"/>
    <w:tmpl w:val="1EB0B610"/>
    <w:lvl w:ilvl="0" w:tplc="CF8A92EE">
      <w:start w:val="3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421CE"/>
    <w:multiLevelType w:val="hybridMultilevel"/>
    <w:tmpl w:val="90B2A494"/>
    <w:lvl w:ilvl="0" w:tplc="376A5E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B60C5"/>
    <w:multiLevelType w:val="multilevel"/>
    <w:tmpl w:val="5AB0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A401DA"/>
    <w:multiLevelType w:val="hybridMultilevel"/>
    <w:tmpl w:val="DD2ED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12D01"/>
    <w:multiLevelType w:val="hybridMultilevel"/>
    <w:tmpl w:val="DCE0F926"/>
    <w:lvl w:ilvl="0" w:tplc="040C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2" w15:restartNumberingAfterBreak="0">
    <w:nsid w:val="6D35597B"/>
    <w:multiLevelType w:val="hybridMultilevel"/>
    <w:tmpl w:val="2806F2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B2C8C"/>
    <w:multiLevelType w:val="hybridMultilevel"/>
    <w:tmpl w:val="6DE0BF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C5B5E"/>
    <w:multiLevelType w:val="hybridMultilevel"/>
    <w:tmpl w:val="82D6C5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95BF9"/>
    <w:multiLevelType w:val="hybridMultilevel"/>
    <w:tmpl w:val="E82A46AE"/>
    <w:lvl w:ilvl="0" w:tplc="A4E200B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54BEA"/>
    <w:multiLevelType w:val="hybridMultilevel"/>
    <w:tmpl w:val="D8BAD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10"/>
  </w:num>
  <w:num w:numId="5">
    <w:abstractNumId w:val="11"/>
  </w:num>
  <w:num w:numId="6">
    <w:abstractNumId w:val="34"/>
  </w:num>
  <w:num w:numId="7">
    <w:abstractNumId w:val="21"/>
  </w:num>
  <w:num w:numId="8">
    <w:abstractNumId w:val="28"/>
  </w:num>
  <w:num w:numId="9">
    <w:abstractNumId w:val="24"/>
  </w:num>
  <w:num w:numId="10">
    <w:abstractNumId w:val="32"/>
  </w:num>
  <w:num w:numId="11">
    <w:abstractNumId w:val="15"/>
  </w:num>
  <w:num w:numId="12">
    <w:abstractNumId w:val="13"/>
  </w:num>
  <w:num w:numId="13">
    <w:abstractNumId w:val="7"/>
  </w:num>
  <w:num w:numId="14">
    <w:abstractNumId w:val="35"/>
  </w:num>
  <w:num w:numId="15">
    <w:abstractNumId w:val="5"/>
  </w:num>
  <w:num w:numId="16">
    <w:abstractNumId w:val="2"/>
  </w:num>
  <w:num w:numId="17">
    <w:abstractNumId w:val="27"/>
  </w:num>
  <w:num w:numId="18">
    <w:abstractNumId w:val="36"/>
  </w:num>
  <w:num w:numId="19">
    <w:abstractNumId w:val="8"/>
  </w:num>
  <w:num w:numId="20">
    <w:abstractNumId w:val="0"/>
  </w:num>
  <w:num w:numId="21">
    <w:abstractNumId w:val="26"/>
  </w:num>
  <w:num w:numId="22">
    <w:abstractNumId w:val="23"/>
  </w:num>
  <w:num w:numId="23">
    <w:abstractNumId w:val="9"/>
  </w:num>
  <w:num w:numId="24">
    <w:abstractNumId w:val="18"/>
  </w:num>
  <w:num w:numId="25">
    <w:abstractNumId w:val="20"/>
  </w:num>
  <w:num w:numId="26">
    <w:abstractNumId w:val="3"/>
  </w:num>
  <w:num w:numId="27">
    <w:abstractNumId w:val="25"/>
  </w:num>
  <w:num w:numId="28">
    <w:abstractNumId w:val="30"/>
  </w:num>
  <w:num w:numId="29">
    <w:abstractNumId w:val="29"/>
  </w:num>
  <w:num w:numId="30">
    <w:abstractNumId w:val="6"/>
  </w:num>
  <w:num w:numId="31">
    <w:abstractNumId w:val="22"/>
  </w:num>
  <w:num w:numId="32">
    <w:abstractNumId w:val="12"/>
  </w:num>
  <w:num w:numId="33">
    <w:abstractNumId w:val="33"/>
  </w:num>
  <w:num w:numId="34">
    <w:abstractNumId w:val="14"/>
  </w:num>
  <w:num w:numId="35">
    <w:abstractNumId w:val="16"/>
  </w:num>
  <w:num w:numId="36">
    <w:abstractNumId w:val="19"/>
  </w:num>
  <w:num w:numId="37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D5"/>
    <w:rsid w:val="00012E17"/>
    <w:rsid w:val="000136E0"/>
    <w:rsid w:val="000150C4"/>
    <w:rsid w:val="00015701"/>
    <w:rsid w:val="000221D1"/>
    <w:rsid w:val="000261F5"/>
    <w:rsid w:val="000279C7"/>
    <w:rsid w:val="00040817"/>
    <w:rsid w:val="000444EB"/>
    <w:rsid w:val="00045D41"/>
    <w:rsid w:val="00064312"/>
    <w:rsid w:val="00064F9E"/>
    <w:rsid w:val="00067CB1"/>
    <w:rsid w:val="000707F2"/>
    <w:rsid w:val="00087439"/>
    <w:rsid w:val="000945D3"/>
    <w:rsid w:val="000946FE"/>
    <w:rsid w:val="00096596"/>
    <w:rsid w:val="000A3F93"/>
    <w:rsid w:val="000A6F1A"/>
    <w:rsid w:val="000A7D1D"/>
    <w:rsid w:val="000B146E"/>
    <w:rsid w:val="000B4BEB"/>
    <w:rsid w:val="000C3F0A"/>
    <w:rsid w:val="000C673C"/>
    <w:rsid w:val="000C7E58"/>
    <w:rsid w:val="000D0CAE"/>
    <w:rsid w:val="000D1137"/>
    <w:rsid w:val="000D2C4B"/>
    <w:rsid w:val="000D34EF"/>
    <w:rsid w:val="000E009D"/>
    <w:rsid w:val="000E42D2"/>
    <w:rsid w:val="000F1850"/>
    <w:rsid w:val="000F20FD"/>
    <w:rsid w:val="000F6D19"/>
    <w:rsid w:val="001002F2"/>
    <w:rsid w:val="00101BD4"/>
    <w:rsid w:val="00102F49"/>
    <w:rsid w:val="001107B2"/>
    <w:rsid w:val="0011201E"/>
    <w:rsid w:val="00112A9F"/>
    <w:rsid w:val="0011595B"/>
    <w:rsid w:val="00120B95"/>
    <w:rsid w:val="00125F97"/>
    <w:rsid w:val="001348A5"/>
    <w:rsid w:val="00136320"/>
    <w:rsid w:val="00141922"/>
    <w:rsid w:val="00142AB5"/>
    <w:rsid w:val="0015290D"/>
    <w:rsid w:val="00152F4C"/>
    <w:rsid w:val="00156128"/>
    <w:rsid w:val="00156F7F"/>
    <w:rsid w:val="0016168D"/>
    <w:rsid w:val="00161693"/>
    <w:rsid w:val="00164C00"/>
    <w:rsid w:val="00173FBD"/>
    <w:rsid w:val="00180BC2"/>
    <w:rsid w:val="001865CF"/>
    <w:rsid w:val="00190A52"/>
    <w:rsid w:val="00193945"/>
    <w:rsid w:val="001A4D07"/>
    <w:rsid w:val="001B0F85"/>
    <w:rsid w:val="001B290C"/>
    <w:rsid w:val="001B4CCA"/>
    <w:rsid w:val="001C1AD7"/>
    <w:rsid w:val="001C4DDD"/>
    <w:rsid w:val="001D57E1"/>
    <w:rsid w:val="001E0358"/>
    <w:rsid w:val="001E06A5"/>
    <w:rsid w:val="001E2366"/>
    <w:rsid w:val="001E2FAA"/>
    <w:rsid w:val="001E2FED"/>
    <w:rsid w:val="001E5100"/>
    <w:rsid w:val="001E62E1"/>
    <w:rsid w:val="001F1E33"/>
    <w:rsid w:val="001F28FE"/>
    <w:rsid w:val="001F3115"/>
    <w:rsid w:val="001F428D"/>
    <w:rsid w:val="001F7F85"/>
    <w:rsid w:val="00203368"/>
    <w:rsid w:val="00204F33"/>
    <w:rsid w:val="00207256"/>
    <w:rsid w:val="00207B40"/>
    <w:rsid w:val="00210450"/>
    <w:rsid w:val="002112F2"/>
    <w:rsid w:val="00211C1D"/>
    <w:rsid w:val="00212770"/>
    <w:rsid w:val="002166FF"/>
    <w:rsid w:val="00217BB5"/>
    <w:rsid w:val="00225DB1"/>
    <w:rsid w:val="0022685C"/>
    <w:rsid w:val="00235848"/>
    <w:rsid w:val="00243286"/>
    <w:rsid w:val="00244506"/>
    <w:rsid w:val="00256C20"/>
    <w:rsid w:val="00261014"/>
    <w:rsid w:val="0026524A"/>
    <w:rsid w:val="002670F0"/>
    <w:rsid w:val="00270B4A"/>
    <w:rsid w:val="00270CBD"/>
    <w:rsid w:val="00273173"/>
    <w:rsid w:val="002748C9"/>
    <w:rsid w:val="002748FD"/>
    <w:rsid w:val="00283F07"/>
    <w:rsid w:val="0029496F"/>
    <w:rsid w:val="002A5664"/>
    <w:rsid w:val="002A5913"/>
    <w:rsid w:val="002B1502"/>
    <w:rsid w:val="002B2456"/>
    <w:rsid w:val="002B2DAD"/>
    <w:rsid w:val="002B4BA6"/>
    <w:rsid w:val="002C0975"/>
    <w:rsid w:val="002C1BC3"/>
    <w:rsid w:val="002C387B"/>
    <w:rsid w:val="002C500C"/>
    <w:rsid w:val="002C531B"/>
    <w:rsid w:val="002E317D"/>
    <w:rsid w:val="002F0B74"/>
    <w:rsid w:val="002F1651"/>
    <w:rsid w:val="002F2855"/>
    <w:rsid w:val="002F3631"/>
    <w:rsid w:val="002F5D8B"/>
    <w:rsid w:val="002F6AA0"/>
    <w:rsid w:val="00301168"/>
    <w:rsid w:val="00306CD6"/>
    <w:rsid w:val="00311403"/>
    <w:rsid w:val="0031455D"/>
    <w:rsid w:val="00316615"/>
    <w:rsid w:val="00320449"/>
    <w:rsid w:val="00320D96"/>
    <w:rsid w:val="00323FFF"/>
    <w:rsid w:val="00324513"/>
    <w:rsid w:val="00326821"/>
    <w:rsid w:val="00330985"/>
    <w:rsid w:val="003416D9"/>
    <w:rsid w:val="00344CF1"/>
    <w:rsid w:val="00346101"/>
    <w:rsid w:val="00350711"/>
    <w:rsid w:val="003577A4"/>
    <w:rsid w:val="00362873"/>
    <w:rsid w:val="00365226"/>
    <w:rsid w:val="00367531"/>
    <w:rsid w:val="00372C84"/>
    <w:rsid w:val="003820B2"/>
    <w:rsid w:val="00383F1D"/>
    <w:rsid w:val="003A2665"/>
    <w:rsid w:val="003C0A68"/>
    <w:rsid w:val="003C5D2E"/>
    <w:rsid w:val="003D2950"/>
    <w:rsid w:val="003D3821"/>
    <w:rsid w:val="003D4D72"/>
    <w:rsid w:val="003D6267"/>
    <w:rsid w:val="003E2EE0"/>
    <w:rsid w:val="003E65CD"/>
    <w:rsid w:val="003E6F0C"/>
    <w:rsid w:val="003E75BE"/>
    <w:rsid w:val="003F6082"/>
    <w:rsid w:val="0040113D"/>
    <w:rsid w:val="0040308C"/>
    <w:rsid w:val="00406F3D"/>
    <w:rsid w:val="00410B43"/>
    <w:rsid w:val="00411268"/>
    <w:rsid w:val="004125E2"/>
    <w:rsid w:val="00416A00"/>
    <w:rsid w:val="00421FD4"/>
    <w:rsid w:val="00425355"/>
    <w:rsid w:val="00433013"/>
    <w:rsid w:val="00435C64"/>
    <w:rsid w:val="0043792B"/>
    <w:rsid w:val="00442792"/>
    <w:rsid w:val="004450B4"/>
    <w:rsid w:val="0044610D"/>
    <w:rsid w:val="00446E09"/>
    <w:rsid w:val="004508CF"/>
    <w:rsid w:val="00453E34"/>
    <w:rsid w:val="0045647C"/>
    <w:rsid w:val="00474297"/>
    <w:rsid w:val="0048176B"/>
    <w:rsid w:val="00481A82"/>
    <w:rsid w:val="00482DB4"/>
    <w:rsid w:val="00490710"/>
    <w:rsid w:val="004952CD"/>
    <w:rsid w:val="00495522"/>
    <w:rsid w:val="004A3593"/>
    <w:rsid w:val="004A6911"/>
    <w:rsid w:val="004A7B3F"/>
    <w:rsid w:val="004B3074"/>
    <w:rsid w:val="004B5E34"/>
    <w:rsid w:val="004B7082"/>
    <w:rsid w:val="004C2D92"/>
    <w:rsid w:val="004C3CA2"/>
    <w:rsid w:val="004C4614"/>
    <w:rsid w:val="004C5AE5"/>
    <w:rsid w:val="004C6C6B"/>
    <w:rsid w:val="004D2D4A"/>
    <w:rsid w:val="004D6257"/>
    <w:rsid w:val="004D679D"/>
    <w:rsid w:val="004E0ED6"/>
    <w:rsid w:val="004E1ABD"/>
    <w:rsid w:val="004E3B0F"/>
    <w:rsid w:val="004E46A2"/>
    <w:rsid w:val="004E552B"/>
    <w:rsid w:val="004E583D"/>
    <w:rsid w:val="004F0765"/>
    <w:rsid w:val="004F37B4"/>
    <w:rsid w:val="00500610"/>
    <w:rsid w:val="00503FEE"/>
    <w:rsid w:val="005057D5"/>
    <w:rsid w:val="00513DAE"/>
    <w:rsid w:val="005224B6"/>
    <w:rsid w:val="00524686"/>
    <w:rsid w:val="0053164A"/>
    <w:rsid w:val="0053256D"/>
    <w:rsid w:val="00534A30"/>
    <w:rsid w:val="00534F65"/>
    <w:rsid w:val="00552931"/>
    <w:rsid w:val="005624CC"/>
    <w:rsid w:val="00566485"/>
    <w:rsid w:val="00573BF0"/>
    <w:rsid w:val="005745AE"/>
    <w:rsid w:val="00580212"/>
    <w:rsid w:val="005825BF"/>
    <w:rsid w:val="005866F9"/>
    <w:rsid w:val="00590BDA"/>
    <w:rsid w:val="0059597B"/>
    <w:rsid w:val="00596A51"/>
    <w:rsid w:val="00597212"/>
    <w:rsid w:val="005A47AA"/>
    <w:rsid w:val="005A530F"/>
    <w:rsid w:val="005A72CD"/>
    <w:rsid w:val="005A7C01"/>
    <w:rsid w:val="005A7CEB"/>
    <w:rsid w:val="005B5F25"/>
    <w:rsid w:val="005B6B5F"/>
    <w:rsid w:val="005C6C1D"/>
    <w:rsid w:val="005D49BF"/>
    <w:rsid w:val="005D62EC"/>
    <w:rsid w:val="005E36FC"/>
    <w:rsid w:val="005E6F02"/>
    <w:rsid w:val="005F152E"/>
    <w:rsid w:val="005F78FB"/>
    <w:rsid w:val="00602179"/>
    <w:rsid w:val="00612270"/>
    <w:rsid w:val="0061650E"/>
    <w:rsid w:val="00616A3D"/>
    <w:rsid w:val="00616EC2"/>
    <w:rsid w:val="00617116"/>
    <w:rsid w:val="00630E46"/>
    <w:rsid w:val="006314FA"/>
    <w:rsid w:val="006327BC"/>
    <w:rsid w:val="006345DF"/>
    <w:rsid w:val="00640FB1"/>
    <w:rsid w:val="00657886"/>
    <w:rsid w:val="006622DD"/>
    <w:rsid w:val="006651D0"/>
    <w:rsid w:val="00665E2F"/>
    <w:rsid w:val="00667F7F"/>
    <w:rsid w:val="006733FA"/>
    <w:rsid w:val="0067494B"/>
    <w:rsid w:val="00676A5A"/>
    <w:rsid w:val="00680476"/>
    <w:rsid w:val="00685F84"/>
    <w:rsid w:val="0068674A"/>
    <w:rsid w:val="006915ED"/>
    <w:rsid w:val="00695192"/>
    <w:rsid w:val="00695FD5"/>
    <w:rsid w:val="006A2F83"/>
    <w:rsid w:val="006A409F"/>
    <w:rsid w:val="006A508C"/>
    <w:rsid w:val="006A66CB"/>
    <w:rsid w:val="006B3763"/>
    <w:rsid w:val="006B7D4E"/>
    <w:rsid w:val="006C6E55"/>
    <w:rsid w:val="006C6FCC"/>
    <w:rsid w:val="006D5757"/>
    <w:rsid w:val="006D68BC"/>
    <w:rsid w:val="006D7F59"/>
    <w:rsid w:val="006E0082"/>
    <w:rsid w:val="006E12F2"/>
    <w:rsid w:val="006E1435"/>
    <w:rsid w:val="006E6229"/>
    <w:rsid w:val="006F0563"/>
    <w:rsid w:val="006F3AF8"/>
    <w:rsid w:val="0070084F"/>
    <w:rsid w:val="00700E20"/>
    <w:rsid w:val="007066F5"/>
    <w:rsid w:val="007070C6"/>
    <w:rsid w:val="0070721A"/>
    <w:rsid w:val="007077CB"/>
    <w:rsid w:val="007107AA"/>
    <w:rsid w:val="007113B6"/>
    <w:rsid w:val="00715936"/>
    <w:rsid w:val="00723321"/>
    <w:rsid w:val="00727E0A"/>
    <w:rsid w:val="00732768"/>
    <w:rsid w:val="007375BB"/>
    <w:rsid w:val="00753269"/>
    <w:rsid w:val="007642C2"/>
    <w:rsid w:val="007661B4"/>
    <w:rsid w:val="00787C24"/>
    <w:rsid w:val="00796065"/>
    <w:rsid w:val="00796C8D"/>
    <w:rsid w:val="007A2E23"/>
    <w:rsid w:val="007A44DD"/>
    <w:rsid w:val="007A5997"/>
    <w:rsid w:val="007B04A0"/>
    <w:rsid w:val="007C25F6"/>
    <w:rsid w:val="007C5666"/>
    <w:rsid w:val="007C5CBA"/>
    <w:rsid w:val="007D2FFD"/>
    <w:rsid w:val="007D3446"/>
    <w:rsid w:val="007D42A6"/>
    <w:rsid w:val="007E50C4"/>
    <w:rsid w:val="007E6080"/>
    <w:rsid w:val="007E62E7"/>
    <w:rsid w:val="00800D4E"/>
    <w:rsid w:val="008018D9"/>
    <w:rsid w:val="00803C0C"/>
    <w:rsid w:val="0080621B"/>
    <w:rsid w:val="0081462F"/>
    <w:rsid w:val="008164DD"/>
    <w:rsid w:val="008165F1"/>
    <w:rsid w:val="0082211E"/>
    <w:rsid w:val="00831760"/>
    <w:rsid w:val="008343F3"/>
    <w:rsid w:val="00835881"/>
    <w:rsid w:val="0084706E"/>
    <w:rsid w:val="00854E07"/>
    <w:rsid w:val="00857FE5"/>
    <w:rsid w:val="00860C80"/>
    <w:rsid w:val="00866A84"/>
    <w:rsid w:val="00874726"/>
    <w:rsid w:val="00876C02"/>
    <w:rsid w:val="008772F0"/>
    <w:rsid w:val="0087746C"/>
    <w:rsid w:val="00877CCF"/>
    <w:rsid w:val="00881126"/>
    <w:rsid w:val="008844F2"/>
    <w:rsid w:val="00884594"/>
    <w:rsid w:val="00890F9D"/>
    <w:rsid w:val="008928CD"/>
    <w:rsid w:val="0089314F"/>
    <w:rsid w:val="00894966"/>
    <w:rsid w:val="00895BC5"/>
    <w:rsid w:val="008A1A96"/>
    <w:rsid w:val="008A210D"/>
    <w:rsid w:val="008A69E3"/>
    <w:rsid w:val="008B0A40"/>
    <w:rsid w:val="008B2CAB"/>
    <w:rsid w:val="008C1271"/>
    <w:rsid w:val="008C1D8A"/>
    <w:rsid w:val="008C4072"/>
    <w:rsid w:val="008C7FD5"/>
    <w:rsid w:val="008D34BE"/>
    <w:rsid w:val="008E08A5"/>
    <w:rsid w:val="008E7324"/>
    <w:rsid w:val="008E78A6"/>
    <w:rsid w:val="008F0F20"/>
    <w:rsid w:val="008F35CB"/>
    <w:rsid w:val="008F57B5"/>
    <w:rsid w:val="009004E0"/>
    <w:rsid w:val="00901AED"/>
    <w:rsid w:val="00901BB0"/>
    <w:rsid w:val="00910783"/>
    <w:rsid w:val="009209D9"/>
    <w:rsid w:val="00922A2F"/>
    <w:rsid w:val="00934261"/>
    <w:rsid w:val="009421F4"/>
    <w:rsid w:val="00945299"/>
    <w:rsid w:val="00950F6A"/>
    <w:rsid w:val="00955D8A"/>
    <w:rsid w:val="009560A3"/>
    <w:rsid w:val="009567E0"/>
    <w:rsid w:val="00957537"/>
    <w:rsid w:val="00960693"/>
    <w:rsid w:val="009609F3"/>
    <w:rsid w:val="00962355"/>
    <w:rsid w:val="00964958"/>
    <w:rsid w:val="009651DD"/>
    <w:rsid w:val="009710A1"/>
    <w:rsid w:val="00976634"/>
    <w:rsid w:val="009816C9"/>
    <w:rsid w:val="00983E31"/>
    <w:rsid w:val="009840E9"/>
    <w:rsid w:val="009844AC"/>
    <w:rsid w:val="0098520E"/>
    <w:rsid w:val="00985BB3"/>
    <w:rsid w:val="00990FB0"/>
    <w:rsid w:val="009934D5"/>
    <w:rsid w:val="0099505B"/>
    <w:rsid w:val="009A26F1"/>
    <w:rsid w:val="009A369C"/>
    <w:rsid w:val="009B2545"/>
    <w:rsid w:val="009C3478"/>
    <w:rsid w:val="009C4956"/>
    <w:rsid w:val="009C5169"/>
    <w:rsid w:val="009D1456"/>
    <w:rsid w:val="009D2486"/>
    <w:rsid w:val="009D6C03"/>
    <w:rsid w:val="009E2730"/>
    <w:rsid w:val="009E666A"/>
    <w:rsid w:val="009F07C4"/>
    <w:rsid w:val="00A02A75"/>
    <w:rsid w:val="00A06EDF"/>
    <w:rsid w:val="00A07F7C"/>
    <w:rsid w:val="00A10F97"/>
    <w:rsid w:val="00A13B4C"/>
    <w:rsid w:val="00A16A5D"/>
    <w:rsid w:val="00A224BA"/>
    <w:rsid w:val="00A245C5"/>
    <w:rsid w:val="00A249A6"/>
    <w:rsid w:val="00A24EB5"/>
    <w:rsid w:val="00A26137"/>
    <w:rsid w:val="00A27CA9"/>
    <w:rsid w:val="00A31DEF"/>
    <w:rsid w:val="00A32400"/>
    <w:rsid w:val="00A43585"/>
    <w:rsid w:val="00A44BA8"/>
    <w:rsid w:val="00A44CD7"/>
    <w:rsid w:val="00A47895"/>
    <w:rsid w:val="00A62E89"/>
    <w:rsid w:val="00A648CE"/>
    <w:rsid w:val="00A66452"/>
    <w:rsid w:val="00A66606"/>
    <w:rsid w:val="00A66969"/>
    <w:rsid w:val="00A66DD7"/>
    <w:rsid w:val="00A70428"/>
    <w:rsid w:val="00A71561"/>
    <w:rsid w:val="00A71C28"/>
    <w:rsid w:val="00A7796A"/>
    <w:rsid w:val="00A90EA5"/>
    <w:rsid w:val="00A91CD8"/>
    <w:rsid w:val="00A91F30"/>
    <w:rsid w:val="00A961DD"/>
    <w:rsid w:val="00A97BB9"/>
    <w:rsid w:val="00AA4D3C"/>
    <w:rsid w:val="00AB4015"/>
    <w:rsid w:val="00AB41A9"/>
    <w:rsid w:val="00AB442F"/>
    <w:rsid w:val="00AC27F1"/>
    <w:rsid w:val="00AC5EA2"/>
    <w:rsid w:val="00AC6737"/>
    <w:rsid w:val="00AD6070"/>
    <w:rsid w:val="00AE56CB"/>
    <w:rsid w:val="00AE5A20"/>
    <w:rsid w:val="00AF1016"/>
    <w:rsid w:val="00AF36FB"/>
    <w:rsid w:val="00B00BFA"/>
    <w:rsid w:val="00B00E2E"/>
    <w:rsid w:val="00B0149C"/>
    <w:rsid w:val="00B024DE"/>
    <w:rsid w:val="00B059D5"/>
    <w:rsid w:val="00B113BE"/>
    <w:rsid w:val="00B14256"/>
    <w:rsid w:val="00B17CBF"/>
    <w:rsid w:val="00B239B7"/>
    <w:rsid w:val="00B259AF"/>
    <w:rsid w:val="00B30CB8"/>
    <w:rsid w:val="00B318C3"/>
    <w:rsid w:val="00B330AC"/>
    <w:rsid w:val="00B37864"/>
    <w:rsid w:val="00B41179"/>
    <w:rsid w:val="00B4206A"/>
    <w:rsid w:val="00B50332"/>
    <w:rsid w:val="00B50B50"/>
    <w:rsid w:val="00B5399C"/>
    <w:rsid w:val="00B61BA5"/>
    <w:rsid w:val="00B644B4"/>
    <w:rsid w:val="00B77C60"/>
    <w:rsid w:val="00B8583E"/>
    <w:rsid w:val="00B85F31"/>
    <w:rsid w:val="00B878E2"/>
    <w:rsid w:val="00BA2581"/>
    <w:rsid w:val="00BA2996"/>
    <w:rsid w:val="00BA4E1D"/>
    <w:rsid w:val="00BB04BE"/>
    <w:rsid w:val="00BB2F8A"/>
    <w:rsid w:val="00BB6A3F"/>
    <w:rsid w:val="00BC1BAA"/>
    <w:rsid w:val="00BC343F"/>
    <w:rsid w:val="00BC3480"/>
    <w:rsid w:val="00BC5EE6"/>
    <w:rsid w:val="00BD52F3"/>
    <w:rsid w:val="00BD6FC8"/>
    <w:rsid w:val="00BE5F4A"/>
    <w:rsid w:val="00BF0616"/>
    <w:rsid w:val="00BF0D72"/>
    <w:rsid w:val="00BF2DD5"/>
    <w:rsid w:val="00BF4B84"/>
    <w:rsid w:val="00BF4C12"/>
    <w:rsid w:val="00BF6A1B"/>
    <w:rsid w:val="00C148CA"/>
    <w:rsid w:val="00C1668A"/>
    <w:rsid w:val="00C20F24"/>
    <w:rsid w:val="00C260A7"/>
    <w:rsid w:val="00C30577"/>
    <w:rsid w:val="00C4375E"/>
    <w:rsid w:val="00C4691E"/>
    <w:rsid w:val="00C477B9"/>
    <w:rsid w:val="00C50686"/>
    <w:rsid w:val="00C545A9"/>
    <w:rsid w:val="00C5573B"/>
    <w:rsid w:val="00C563B8"/>
    <w:rsid w:val="00C61024"/>
    <w:rsid w:val="00C63017"/>
    <w:rsid w:val="00C64F00"/>
    <w:rsid w:val="00C655F1"/>
    <w:rsid w:val="00C660F5"/>
    <w:rsid w:val="00C71075"/>
    <w:rsid w:val="00C726A4"/>
    <w:rsid w:val="00C7499F"/>
    <w:rsid w:val="00C8226F"/>
    <w:rsid w:val="00C86394"/>
    <w:rsid w:val="00C946AA"/>
    <w:rsid w:val="00C95182"/>
    <w:rsid w:val="00C95AA1"/>
    <w:rsid w:val="00C9721A"/>
    <w:rsid w:val="00CA02DB"/>
    <w:rsid w:val="00CA2492"/>
    <w:rsid w:val="00CB1074"/>
    <w:rsid w:val="00CB3F3F"/>
    <w:rsid w:val="00CB45A5"/>
    <w:rsid w:val="00CB61A8"/>
    <w:rsid w:val="00CB7C33"/>
    <w:rsid w:val="00CC2B04"/>
    <w:rsid w:val="00CC2E53"/>
    <w:rsid w:val="00CC309C"/>
    <w:rsid w:val="00CC7D4E"/>
    <w:rsid w:val="00CD138E"/>
    <w:rsid w:val="00CD3765"/>
    <w:rsid w:val="00CD3A19"/>
    <w:rsid w:val="00CD3BD7"/>
    <w:rsid w:val="00CD53F1"/>
    <w:rsid w:val="00CE0CEC"/>
    <w:rsid w:val="00CE20B8"/>
    <w:rsid w:val="00CE3515"/>
    <w:rsid w:val="00CE541E"/>
    <w:rsid w:val="00CE59C8"/>
    <w:rsid w:val="00CF08D4"/>
    <w:rsid w:val="00CF1737"/>
    <w:rsid w:val="00CF43B3"/>
    <w:rsid w:val="00D00807"/>
    <w:rsid w:val="00D00F34"/>
    <w:rsid w:val="00D01A9B"/>
    <w:rsid w:val="00D05F98"/>
    <w:rsid w:val="00D10024"/>
    <w:rsid w:val="00D13EF3"/>
    <w:rsid w:val="00D206EA"/>
    <w:rsid w:val="00D212ED"/>
    <w:rsid w:val="00D25A05"/>
    <w:rsid w:val="00D32075"/>
    <w:rsid w:val="00D34EE2"/>
    <w:rsid w:val="00D41D20"/>
    <w:rsid w:val="00D4343F"/>
    <w:rsid w:val="00D50AFA"/>
    <w:rsid w:val="00D514E0"/>
    <w:rsid w:val="00D57AAB"/>
    <w:rsid w:val="00D6488C"/>
    <w:rsid w:val="00D7155C"/>
    <w:rsid w:val="00D74077"/>
    <w:rsid w:val="00D749E2"/>
    <w:rsid w:val="00D8058E"/>
    <w:rsid w:val="00D83566"/>
    <w:rsid w:val="00D838EE"/>
    <w:rsid w:val="00D84D89"/>
    <w:rsid w:val="00D85392"/>
    <w:rsid w:val="00D927ED"/>
    <w:rsid w:val="00DA063E"/>
    <w:rsid w:val="00DA50BC"/>
    <w:rsid w:val="00DB162A"/>
    <w:rsid w:val="00DC0F41"/>
    <w:rsid w:val="00DC1868"/>
    <w:rsid w:val="00DC5130"/>
    <w:rsid w:val="00DD3317"/>
    <w:rsid w:val="00DD4871"/>
    <w:rsid w:val="00DD6C3F"/>
    <w:rsid w:val="00DF381F"/>
    <w:rsid w:val="00DF467C"/>
    <w:rsid w:val="00DF5028"/>
    <w:rsid w:val="00DF5B77"/>
    <w:rsid w:val="00DF5CA4"/>
    <w:rsid w:val="00E01A77"/>
    <w:rsid w:val="00E01C84"/>
    <w:rsid w:val="00E137F3"/>
    <w:rsid w:val="00E15940"/>
    <w:rsid w:val="00E15D72"/>
    <w:rsid w:val="00E163F2"/>
    <w:rsid w:val="00E17147"/>
    <w:rsid w:val="00E32967"/>
    <w:rsid w:val="00E45209"/>
    <w:rsid w:val="00E5022A"/>
    <w:rsid w:val="00E53CD3"/>
    <w:rsid w:val="00E54C85"/>
    <w:rsid w:val="00E705F2"/>
    <w:rsid w:val="00E9009F"/>
    <w:rsid w:val="00E92B80"/>
    <w:rsid w:val="00E96B50"/>
    <w:rsid w:val="00EA344F"/>
    <w:rsid w:val="00EA4ABF"/>
    <w:rsid w:val="00EA62FB"/>
    <w:rsid w:val="00EB2EAF"/>
    <w:rsid w:val="00EB3400"/>
    <w:rsid w:val="00EB65A8"/>
    <w:rsid w:val="00EB76BD"/>
    <w:rsid w:val="00EC0521"/>
    <w:rsid w:val="00EC1D6F"/>
    <w:rsid w:val="00EC1FCD"/>
    <w:rsid w:val="00EC3D53"/>
    <w:rsid w:val="00ED0556"/>
    <w:rsid w:val="00ED74BC"/>
    <w:rsid w:val="00EE3788"/>
    <w:rsid w:val="00EE76F9"/>
    <w:rsid w:val="00EF13E7"/>
    <w:rsid w:val="00EF4285"/>
    <w:rsid w:val="00F01704"/>
    <w:rsid w:val="00F01822"/>
    <w:rsid w:val="00F0662C"/>
    <w:rsid w:val="00F1054A"/>
    <w:rsid w:val="00F12244"/>
    <w:rsid w:val="00F15048"/>
    <w:rsid w:val="00F208EF"/>
    <w:rsid w:val="00F24F77"/>
    <w:rsid w:val="00F30376"/>
    <w:rsid w:val="00F32860"/>
    <w:rsid w:val="00F33B3D"/>
    <w:rsid w:val="00F34CCC"/>
    <w:rsid w:val="00F40189"/>
    <w:rsid w:val="00F455AF"/>
    <w:rsid w:val="00F470CE"/>
    <w:rsid w:val="00F51463"/>
    <w:rsid w:val="00F51B1A"/>
    <w:rsid w:val="00F52363"/>
    <w:rsid w:val="00F5486D"/>
    <w:rsid w:val="00F61DD9"/>
    <w:rsid w:val="00F70F5F"/>
    <w:rsid w:val="00F717D4"/>
    <w:rsid w:val="00F75558"/>
    <w:rsid w:val="00F80392"/>
    <w:rsid w:val="00F80E67"/>
    <w:rsid w:val="00F83B89"/>
    <w:rsid w:val="00F85A8C"/>
    <w:rsid w:val="00F91764"/>
    <w:rsid w:val="00F95115"/>
    <w:rsid w:val="00FA04B5"/>
    <w:rsid w:val="00FA4542"/>
    <w:rsid w:val="00FA4BB3"/>
    <w:rsid w:val="00FA6477"/>
    <w:rsid w:val="00FA68E2"/>
    <w:rsid w:val="00FB1396"/>
    <w:rsid w:val="00FB51EB"/>
    <w:rsid w:val="00FC0E73"/>
    <w:rsid w:val="00FC148A"/>
    <w:rsid w:val="00FC4BCE"/>
    <w:rsid w:val="00FC78C3"/>
    <w:rsid w:val="00FD5737"/>
    <w:rsid w:val="00FD5CA4"/>
    <w:rsid w:val="00FD76B2"/>
    <w:rsid w:val="00FD7D70"/>
    <w:rsid w:val="00FE4E3F"/>
    <w:rsid w:val="00FF350F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4A068"/>
  <w15:docId w15:val="{A9D118C8-0E18-47BD-B9C4-209B75C4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6A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C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aliases w:val="En-tête1,E.e"/>
    <w:basedOn w:val="Normal"/>
    <w:rsid w:val="004817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17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176B"/>
  </w:style>
  <w:style w:type="paragraph" w:styleId="NormalWeb">
    <w:name w:val="Normal (Web)"/>
    <w:basedOn w:val="Normal"/>
    <w:uiPriority w:val="99"/>
    <w:rsid w:val="0043792B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D835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7F7C"/>
    <w:pPr>
      <w:ind w:left="720"/>
      <w:contextualSpacing/>
    </w:pPr>
  </w:style>
  <w:style w:type="character" w:styleId="Lienhypertexte">
    <w:name w:val="Hyperlink"/>
    <w:basedOn w:val="Policepardfaut"/>
    <w:rsid w:val="00590BD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597212"/>
    <w:rPr>
      <w:sz w:val="16"/>
      <w:szCs w:val="16"/>
    </w:rPr>
  </w:style>
  <w:style w:type="paragraph" w:styleId="Commentaire">
    <w:name w:val="annotation text"/>
    <w:basedOn w:val="Normal"/>
    <w:link w:val="CommentaireCar"/>
    <w:rsid w:val="005972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97212"/>
  </w:style>
  <w:style w:type="paragraph" w:styleId="Objetducommentaire">
    <w:name w:val="annotation subject"/>
    <w:basedOn w:val="Commentaire"/>
    <w:next w:val="Commentaire"/>
    <w:link w:val="ObjetducommentaireCar"/>
    <w:rsid w:val="005972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97212"/>
    <w:rPr>
      <w:b/>
      <w:bCs/>
    </w:rPr>
  </w:style>
  <w:style w:type="character" w:styleId="lev">
    <w:name w:val="Strong"/>
    <w:basedOn w:val="Policepardfaut"/>
    <w:uiPriority w:val="22"/>
    <w:qFormat/>
    <w:rsid w:val="00064312"/>
    <w:rPr>
      <w:b/>
      <w:bCs/>
    </w:rPr>
  </w:style>
  <w:style w:type="table" w:styleId="Colonnesdetableau5">
    <w:name w:val="Table Columns 5"/>
    <w:basedOn w:val="TableauNormal"/>
    <w:rsid w:val="009D24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1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a.ars.sante.fr/400-medecins-generalistes-recrutes-pour-renforcer-lacces-aux-soi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emarches-simplifiees.fr/commencer/appel-a-candidatures-assistants-specialistes-a-te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7</Pages>
  <Words>1792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MROIVILI, Ramata (ARS-PACA/DSPE/DPPS)</cp:lastModifiedBy>
  <cp:revision>15</cp:revision>
  <cp:lastPrinted>2023-02-10T15:40:00Z</cp:lastPrinted>
  <dcterms:created xsi:type="dcterms:W3CDTF">2023-01-24T13:36:00Z</dcterms:created>
  <dcterms:modified xsi:type="dcterms:W3CDTF">2023-02-14T09:01:00Z</dcterms:modified>
</cp:coreProperties>
</file>