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4BD" w:rsidRDefault="009524BD">
      <w:pPr>
        <w:pStyle w:val="Standard"/>
        <w:rPr>
          <w:b/>
          <w:sz w:val="20"/>
          <w:szCs w:val="20"/>
        </w:rPr>
      </w:pPr>
      <w:bookmarkStart w:id="0" w:name="_GoBack"/>
      <w:bookmarkEnd w:id="0"/>
    </w:p>
    <w:tbl>
      <w:tblPr>
        <w:tblW w:w="11207" w:type="dxa"/>
        <w:tblInd w:w="-856" w:type="dxa"/>
        <w:tblLayout w:type="fixed"/>
        <w:tblCellMar>
          <w:left w:w="10" w:type="dxa"/>
          <w:right w:w="10" w:type="dxa"/>
        </w:tblCellMar>
        <w:tblLook w:val="04A0" w:firstRow="1" w:lastRow="0" w:firstColumn="1" w:lastColumn="0" w:noHBand="0" w:noVBand="1"/>
      </w:tblPr>
      <w:tblGrid>
        <w:gridCol w:w="2736"/>
        <w:gridCol w:w="5093"/>
        <w:gridCol w:w="3378"/>
      </w:tblGrid>
      <w:tr w:rsidR="009524BD">
        <w:tblPrEx>
          <w:tblCellMar>
            <w:top w:w="0" w:type="dxa"/>
            <w:bottom w:w="0" w:type="dxa"/>
          </w:tblCellMar>
        </w:tblPrEx>
        <w:tc>
          <w:tcPr>
            <w:tcW w:w="2736" w:type="dxa"/>
            <w:tcMar>
              <w:top w:w="0" w:type="dxa"/>
              <w:left w:w="108" w:type="dxa"/>
              <w:bottom w:w="0" w:type="dxa"/>
              <w:right w:w="108" w:type="dxa"/>
            </w:tcMar>
          </w:tcPr>
          <w:p w:rsidR="009524BD" w:rsidRDefault="009524BD">
            <w:pPr>
              <w:pStyle w:val="Standard"/>
              <w:tabs>
                <w:tab w:val="left" w:pos="2385"/>
              </w:tabs>
              <w:ind w:left="-243"/>
            </w:pPr>
          </w:p>
        </w:tc>
        <w:tc>
          <w:tcPr>
            <w:tcW w:w="5093" w:type="dxa"/>
            <w:tcMar>
              <w:top w:w="0" w:type="dxa"/>
              <w:left w:w="108" w:type="dxa"/>
              <w:bottom w:w="0" w:type="dxa"/>
              <w:right w:w="108" w:type="dxa"/>
            </w:tcMar>
          </w:tcPr>
          <w:p w:rsidR="009524BD" w:rsidRDefault="009524BD">
            <w:pPr>
              <w:pStyle w:val="Standard"/>
              <w:ind w:left="854"/>
            </w:pPr>
          </w:p>
        </w:tc>
        <w:tc>
          <w:tcPr>
            <w:tcW w:w="3378" w:type="dxa"/>
            <w:tcMar>
              <w:top w:w="0" w:type="dxa"/>
              <w:left w:w="108" w:type="dxa"/>
              <w:bottom w:w="0" w:type="dxa"/>
              <w:right w:w="108" w:type="dxa"/>
            </w:tcMar>
          </w:tcPr>
          <w:p w:rsidR="009524BD" w:rsidRDefault="009524BD">
            <w:pPr>
              <w:pStyle w:val="Standard"/>
              <w:ind w:left="-120" w:right="-750"/>
            </w:pPr>
          </w:p>
          <w:p w:rsidR="009524BD" w:rsidRDefault="009524BD">
            <w:pPr>
              <w:pStyle w:val="Standard"/>
              <w:ind w:right="-750"/>
              <w:rPr>
                <w:b/>
                <w:sz w:val="20"/>
                <w:szCs w:val="20"/>
              </w:rPr>
            </w:pPr>
          </w:p>
        </w:tc>
      </w:tr>
    </w:tbl>
    <w:p w:rsidR="009524BD" w:rsidRDefault="009E6911">
      <w:pPr>
        <w:pStyle w:val="Standard"/>
      </w:pPr>
      <w:r>
        <w:rPr>
          <w:b/>
          <w:sz w:val="20"/>
          <w:szCs w:val="20"/>
        </w:rPr>
        <w:t xml:space="preserve">                       </w:t>
      </w:r>
    </w:p>
    <w:tbl>
      <w:tblPr>
        <w:tblW w:w="11483" w:type="dxa"/>
        <w:tblInd w:w="-998" w:type="dxa"/>
        <w:tblLayout w:type="fixed"/>
        <w:tblCellMar>
          <w:left w:w="10" w:type="dxa"/>
          <w:right w:w="10" w:type="dxa"/>
        </w:tblCellMar>
        <w:tblLook w:val="04A0" w:firstRow="1" w:lastRow="0" w:firstColumn="1" w:lastColumn="0" w:noHBand="0" w:noVBand="1"/>
      </w:tblPr>
      <w:tblGrid>
        <w:gridCol w:w="2730"/>
        <w:gridCol w:w="1526"/>
        <w:gridCol w:w="3740"/>
        <w:gridCol w:w="3487"/>
      </w:tblGrid>
      <w:tr w:rsidR="009524BD">
        <w:tblPrEx>
          <w:tblCellMar>
            <w:top w:w="0" w:type="dxa"/>
            <w:bottom w:w="0" w:type="dxa"/>
          </w:tblCellMar>
        </w:tblPrEx>
        <w:tc>
          <w:tcPr>
            <w:tcW w:w="2730" w:type="dxa"/>
            <w:tcMar>
              <w:top w:w="0" w:type="dxa"/>
              <w:left w:w="108" w:type="dxa"/>
              <w:bottom w:w="0" w:type="dxa"/>
              <w:right w:w="108" w:type="dxa"/>
            </w:tcMar>
          </w:tcPr>
          <w:p w:rsidR="009524BD" w:rsidRDefault="009524BD">
            <w:pPr>
              <w:pStyle w:val="Standard"/>
              <w:rPr>
                <w:rFonts w:cs="Arial"/>
                <w:b/>
                <w:i/>
                <w:sz w:val="20"/>
                <w:szCs w:val="20"/>
              </w:rPr>
            </w:pPr>
          </w:p>
          <w:p w:rsidR="009524BD" w:rsidRDefault="009E6911">
            <w:pPr>
              <w:pStyle w:val="Standard"/>
            </w:pPr>
            <w:r>
              <w:rPr>
                <w:noProof/>
                <w:lang w:eastAsia="fr-FR"/>
              </w:rPr>
              <w:drawing>
                <wp:anchor distT="0" distB="0" distL="114300" distR="114300" simplePos="0" relativeHeight="251657216" behindDoc="0" locked="0" layoutInCell="1" allowOverlap="1">
                  <wp:simplePos x="0" y="0"/>
                  <wp:positionH relativeFrom="column">
                    <wp:posOffset>-720</wp:posOffset>
                  </wp:positionH>
                  <wp:positionV relativeFrom="paragraph">
                    <wp:posOffset>160200</wp:posOffset>
                  </wp:positionV>
                  <wp:extent cx="1598400" cy="799560"/>
                  <wp:effectExtent l="0" t="0" r="1800" b="540"/>
                  <wp:wrapSquare wrapText="bothSides"/>
                  <wp:docPr id="1" name="Imag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98400" cy="799560"/>
                          </a:xfrm>
                          <a:prstGeom prst="rect">
                            <a:avLst/>
                          </a:prstGeom>
                          <a:noFill/>
                          <a:ln>
                            <a:noFill/>
                            <a:prstDash/>
                          </a:ln>
                        </pic:spPr>
                      </pic:pic>
                    </a:graphicData>
                  </a:graphic>
                </wp:anchor>
              </w:drawing>
            </w:r>
          </w:p>
          <w:p w:rsidR="009524BD" w:rsidRDefault="009524BD">
            <w:pPr>
              <w:pStyle w:val="Standard"/>
              <w:rPr>
                <w:rFonts w:cs="Arial"/>
                <w:b/>
                <w:i/>
                <w:sz w:val="20"/>
                <w:szCs w:val="20"/>
              </w:rPr>
            </w:pPr>
          </w:p>
          <w:p w:rsidR="009524BD" w:rsidRDefault="009524BD">
            <w:pPr>
              <w:pStyle w:val="Standard"/>
              <w:rPr>
                <w:rFonts w:cs="Arial"/>
                <w:b/>
                <w:i/>
                <w:sz w:val="20"/>
                <w:szCs w:val="20"/>
              </w:rPr>
            </w:pPr>
          </w:p>
          <w:p w:rsidR="009524BD" w:rsidRDefault="009524BD">
            <w:pPr>
              <w:pStyle w:val="Standard"/>
              <w:rPr>
                <w:rFonts w:cs="Arial"/>
                <w:b/>
                <w:i/>
                <w:sz w:val="20"/>
                <w:szCs w:val="20"/>
              </w:rPr>
            </w:pPr>
          </w:p>
        </w:tc>
        <w:tc>
          <w:tcPr>
            <w:tcW w:w="1526" w:type="dxa"/>
            <w:tcMar>
              <w:top w:w="0" w:type="dxa"/>
              <w:left w:w="108" w:type="dxa"/>
              <w:bottom w:w="0" w:type="dxa"/>
              <w:right w:w="108" w:type="dxa"/>
            </w:tcMar>
          </w:tcPr>
          <w:p w:rsidR="009524BD" w:rsidRDefault="009524BD">
            <w:pPr>
              <w:pStyle w:val="Standard"/>
              <w:rPr>
                <w:rFonts w:cs="Arial"/>
                <w:b/>
                <w:i/>
                <w:sz w:val="20"/>
                <w:szCs w:val="20"/>
              </w:rPr>
            </w:pPr>
          </w:p>
          <w:p w:rsidR="009524BD" w:rsidRDefault="009524BD">
            <w:pPr>
              <w:pStyle w:val="Standard"/>
              <w:rPr>
                <w:rFonts w:cs="Arial"/>
                <w:b/>
                <w:i/>
                <w:sz w:val="20"/>
                <w:szCs w:val="20"/>
              </w:rPr>
            </w:pPr>
          </w:p>
          <w:p w:rsidR="009524BD" w:rsidRDefault="009524BD">
            <w:pPr>
              <w:pStyle w:val="Standard"/>
              <w:rPr>
                <w:rFonts w:cs="Arial"/>
                <w:b/>
                <w:i/>
                <w:sz w:val="20"/>
                <w:szCs w:val="20"/>
              </w:rPr>
            </w:pPr>
          </w:p>
          <w:p w:rsidR="009524BD" w:rsidRDefault="009524BD">
            <w:pPr>
              <w:pStyle w:val="Standard"/>
              <w:jc w:val="center"/>
            </w:pPr>
          </w:p>
        </w:tc>
        <w:tc>
          <w:tcPr>
            <w:tcW w:w="3740" w:type="dxa"/>
            <w:tcMar>
              <w:top w:w="0" w:type="dxa"/>
              <w:left w:w="108" w:type="dxa"/>
              <w:bottom w:w="0" w:type="dxa"/>
              <w:right w:w="108" w:type="dxa"/>
            </w:tcMar>
          </w:tcPr>
          <w:p w:rsidR="009524BD" w:rsidRDefault="009524BD">
            <w:pPr>
              <w:pStyle w:val="Standard"/>
              <w:rPr>
                <w:rFonts w:cs="Arial"/>
                <w:b/>
                <w:i/>
                <w:sz w:val="20"/>
                <w:szCs w:val="20"/>
              </w:rPr>
            </w:pPr>
          </w:p>
          <w:p w:rsidR="009524BD" w:rsidRDefault="009524BD">
            <w:pPr>
              <w:pStyle w:val="Standard"/>
              <w:rPr>
                <w:rFonts w:cs="Arial"/>
                <w:b/>
                <w:i/>
                <w:sz w:val="20"/>
                <w:szCs w:val="20"/>
              </w:rPr>
            </w:pPr>
          </w:p>
          <w:p w:rsidR="009524BD" w:rsidRDefault="009E6911">
            <w:pPr>
              <w:pStyle w:val="Standard"/>
            </w:pPr>
            <w:r>
              <w:rPr>
                <w:b/>
                <w:noProof/>
                <w:sz w:val="20"/>
                <w:szCs w:val="20"/>
                <w:lang w:eastAsia="fr-FR"/>
              </w:rPr>
              <w:drawing>
                <wp:inline distT="0" distB="0" distL="0" distR="0">
                  <wp:extent cx="2246760" cy="1112400"/>
                  <wp:effectExtent l="0" t="0" r="1140" b="0"/>
                  <wp:docPr id="2" name="Imag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46760" cy="1112400"/>
                          </a:xfrm>
                          <a:prstGeom prst="rect">
                            <a:avLst/>
                          </a:prstGeom>
                          <a:noFill/>
                          <a:ln>
                            <a:noFill/>
                            <a:prstDash/>
                          </a:ln>
                        </pic:spPr>
                      </pic:pic>
                    </a:graphicData>
                  </a:graphic>
                </wp:inline>
              </w:drawing>
            </w:r>
          </w:p>
        </w:tc>
        <w:tc>
          <w:tcPr>
            <w:tcW w:w="3487" w:type="dxa"/>
            <w:tcMar>
              <w:top w:w="0" w:type="dxa"/>
              <w:left w:w="108" w:type="dxa"/>
              <w:bottom w:w="0" w:type="dxa"/>
              <w:right w:w="108" w:type="dxa"/>
            </w:tcMar>
          </w:tcPr>
          <w:p w:rsidR="009524BD" w:rsidRDefault="009524BD">
            <w:pPr>
              <w:pStyle w:val="Standard"/>
              <w:rPr>
                <w:rFonts w:cs="Arial"/>
                <w:b/>
                <w:i/>
                <w:sz w:val="20"/>
                <w:szCs w:val="20"/>
              </w:rPr>
            </w:pPr>
          </w:p>
          <w:p w:rsidR="009524BD" w:rsidRDefault="009524BD">
            <w:pPr>
              <w:pStyle w:val="Standard"/>
              <w:rPr>
                <w:rFonts w:cs="Arial"/>
                <w:b/>
                <w:i/>
                <w:sz w:val="20"/>
                <w:szCs w:val="20"/>
              </w:rPr>
            </w:pPr>
          </w:p>
          <w:p w:rsidR="009524BD" w:rsidRDefault="009E6911">
            <w:pPr>
              <w:pStyle w:val="Standard"/>
            </w:pPr>
            <w:r>
              <w:rPr>
                <w:b/>
                <w:noProof/>
                <w:sz w:val="20"/>
                <w:szCs w:val="20"/>
                <w:lang w:eastAsia="fr-FR"/>
              </w:rPr>
              <w:drawing>
                <wp:inline distT="0" distB="0" distL="0" distR="0">
                  <wp:extent cx="2084760" cy="1054800"/>
                  <wp:effectExtent l="0" t="0" r="0" b="0"/>
                  <wp:docPr id="3" name="Imag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084760" cy="1054800"/>
                          </a:xfrm>
                          <a:prstGeom prst="rect">
                            <a:avLst/>
                          </a:prstGeom>
                          <a:noFill/>
                          <a:ln>
                            <a:noFill/>
                            <a:prstDash/>
                          </a:ln>
                        </pic:spPr>
                      </pic:pic>
                    </a:graphicData>
                  </a:graphic>
                </wp:inline>
              </w:drawing>
            </w:r>
          </w:p>
        </w:tc>
      </w:tr>
    </w:tbl>
    <w:p w:rsidR="009524BD" w:rsidRDefault="009E6911">
      <w:pPr>
        <w:pStyle w:val="Standard"/>
      </w:pPr>
      <w:r>
        <w:rPr>
          <w:rFonts w:cs="Arial"/>
          <w:b/>
          <w:i/>
          <w:sz w:val="20"/>
          <w:szCs w:val="20"/>
        </w:rPr>
        <w:tab/>
      </w:r>
      <w:r>
        <w:rPr>
          <w:rFonts w:cs="Arial"/>
          <w:b/>
          <w:i/>
          <w:sz w:val="20"/>
          <w:szCs w:val="20"/>
        </w:rPr>
        <w:tab/>
      </w:r>
      <w:r>
        <w:rPr>
          <w:rFonts w:cs="Arial"/>
          <w:b/>
          <w:i/>
          <w:sz w:val="20"/>
          <w:szCs w:val="20"/>
        </w:rPr>
        <w:t xml:space="preserve">       </w:t>
      </w:r>
    </w:p>
    <w:p w:rsidR="009524BD" w:rsidRDefault="009524BD">
      <w:pPr>
        <w:pStyle w:val="Standard"/>
        <w:rPr>
          <w:rFonts w:ascii="Arial" w:hAnsi="Arial" w:cs="Arial"/>
          <w:b/>
          <w:i/>
          <w:sz w:val="20"/>
          <w:szCs w:val="20"/>
        </w:rPr>
      </w:pPr>
    </w:p>
    <w:p w:rsidR="009524BD" w:rsidRDefault="009524BD">
      <w:pPr>
        <w:pStyle w:val="Standard"/>
        <w:rPr>
          <w:rFonts w:ascii="Arial" w:hAnsi="Arial" w:cs="Arial"/>
          <w:b/>
        </w:rPr>
      </w:pPr>
    </w:p>
    <w:p w:rsidR="009524BD" w:rsidRDefault="009524BD">
      <w:pPr>
        <w:pStyle w:val="Standard"/>
        <w:rPr>
          <w:rFonts w:ascii="Arial" w:hAnsi="Arial" w:cs="Arial"/>
          <w:b/>
        </w:rPr>
      </w:pPr>
    </w:p>
    <w:p w:rsidR="009524BD" w:rsidRDefault="009524BD">
      <w:pPr>
        <w:pStyle w:val="Standard"/>
        <w:rPr>
          <w:rFonts w:ascii="Arial" w:hAnsi="Arial" w:cs="Arial"/>
          <w:b/>
        </w:rPr>
      </w:pPr>
    </w:p>
    <w:p w:rsidR="009524BD" w:rsidRDefault="009524BD">
      <w:pPr>
        <w:pStyle w:val="Standard"/>
        <w:rPr>
          <w:rFonts w:ascii="Arial" w:hAnsi="Arial" w:cs="Arial"/>
          <w:b/>
        </w:rPr>
      </w:pPr>
    </w:p>
    <w:p w:rsidR="009524BD" w:rsidRDefault="009524BD">
      <w:pPr>
        <w:pStyle w:val="Standard"/>
        <w:rPr>
          <w:rFonts w:ascii="Arial" w:hAnsi="Arial" w:cs="Arial"/>
          <w:b/>
        </w:rPr>
      </w:pPr>
    </w:p>
    <w:p w:rsidR="009524BD" w:rsidRDefault="009524BD">
      <w:pPr>
        <w:pStyle w:val="Standard"/>
        <w:rPr>
          <w:rFonts w:ascii="Arial" w:hAnsi="Arial" w:cs="Arial"/>
        </w:rPr>
      </w:pPr>
    </w:p>
    <w:p w:rsidR="009524BD" w:rsidRDefault="009E6911">
      <w:pPr>
        <w:pStyle w:val="Standard"/>
      </w:pPr>
      <w:r>
        <w:rPr>
          <w:noProof/>
          <w:lang w:eastAsia="fr-FR"/>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29160</wp:posOffset>
                </wp:positionV>
                <wp:extent cx="5990760" cy="1114559"/>
                <wp:effectExtent l="0" t="0" r="9990" b="28441"/>
                <wp:wrapNone/>
                <wp:docPr id="4" name="Cadre1"/>
                <wp:cNvGraphicFramePr/>
                <a:graphic xmlns:a="http://schemas.openxmlformats.org/drawingml/2006/main">
                  <a:graphicData uri="http://schemas.microsoft.com/office/word/2010/wordprocessingShape">
                    <wps:wsp>
                      <wps:cNvSpPr txBox="1"/>
                      <wps:spPr>
                        <a:xfrm>
                          <a:off x="0" y="0"/>
                          <a:ext cx="5990760" cy="1114559"/>
                        </a:xfrm>
                        <a:prstGeom prst="rect">
                          <a:avLst/>
                        </a:prstGeom>
                        <a:noFill/>
                        <a:ln w="19050">
                          <a:solidFill>
                            <a:srgbClr val="000000"/>
                          </a:solidFill>
                          <a:prstDash val="solid"/>
                        </a:ln>
                      </wps:spPr>
                      <wps:txbx>
                        <w:txbxContent>
                          <w:p w:rsidR="009524BD" w:rsidRDefault="009524BD">
                            <w:pPr>
                              <w:pStyle w:val="Standard"/>
                              <w:jc w:val="center"/>
                              <w:rPr>
                                <w:rFonts w:ascii="Arial" w:hAnsi="Arial" w:cs="Arial"/>
                                <w:b/>
                              </w:rPr>
                            </w:pPr>
                          </w:p>
                          <w:p w:rsidR="009524BD" w:rsidRDefault="009E6911">
                            <w:pPr>
                              <w:pStyle w:val="Standard"/>
                              <w:jc w:val="center"/>
                              <w:rPr>
                                <w:rFonts w:ascii="Arial" w:hAnsi="Arial" w:cs="Arial"/>
                                <w:b/>
                              </w:rPr>
                            </w:pPr>
                            <w:r>
                              <w:rPr>
                                <w:rFonts w:ascii="Arial" w:hAnsi="Arial" w:cs="Arial"/>
                                <w:b/>
                              </w:rPr>
                              <w:t>CAHIER DES CHARGES RELATIF À L’APPEL À CANDIDATURE POUR LA DESIGNATION DE LA PERSONNES QUALIFIEES</w:t>
                            </w:r>
                          </w:p>
                          <w:p w:rsidR="009524BD" w:rsidRDefault="009E6911">
                            <w:pPr>
                              <w:pStyle w:val="Standard"/>
                              <w:jc w:val="center"/>
                              <w:rPr>
                                <w:rFonts w:ascii="Arial" w:hAnsi="Arial" w:cs="Arial"/>
                                <w:b/>
                              </w:rPr>
                            </w:pPr>
                            <w:r>
                              <w:rPr>
                                <w:rFonts w:ascii="Arial" w:hAnsi="Arial" w:cs="Arial"/>
                                <w:b/>
                              </w:rPr>
                              <w:t>ETABLISSEMENTS SOCIAUX ET MEDICO-SOCIAUX</w:t>
                            </w:r>
                          </w:p>
                          <w:p w:rsidR="009524BD" w:rsidRDefault="009E6911">
                            <w:pPr>
                              <w:pStyle w:val="Standard"/>
                              <w:jc w:val="center"/>
                              <w:rPr>
                                <w:rFonts w:ascii="Arial" w:hAnsi="Arial" w:cs="Arial"/>
                                <w:b/>
                              </w:rPr>
                            </w:pPr>
                            <w:r>
                              <w:rPr>
                                <w:rFonts w:ascii="Arial" w:hAnsi="Arial" w:cs="Arial"/>
                                <w:b/>
                              </w:rPr>
                              <w:t>DANS LES BOUCHES-DU-RHONE</w:t>
                            </w:r>
                          </w:p>
                          <w:p w:rsidR="009524BD" w:rsidRDefault="009524BD">
                            <w:pPr>
                              <w:pStyle w:val="Standard"/>
                              <w:jc w:val="center"/>
                            </w:pPr>
                          </w:p>
                          <w:p w:rsidR="009524BD" w:rsidRDefault="009524BD">
                            <w:pPr>
                              <w:pStyle w:val="Standard"/>
                              <w:rPr>
                                <w:rFonts w:ascii="Arial" w:hAnsi="Arial" w:cs="Arial"/>
                                <w:b/>
                              </w:rPr>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20.5pt;margin-top:2.3pt;width:471.7pt;height:87.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" filled="f" strokeweight="1.5pt">
                <v:textbox>
                  <w:txbxContent>
                    <w:p w:rsidR="009524BD" w:rsidRDefault="009524BD">
                      <w:pPr>
                        <w:pStyle w:val="Standard"/>
                        <w:jc w:val="center"/>
                        <w:rPr>
                          <w:rFonts w:ascii="Arial" w:hAnsi="Arial" w:cs="Arial"/>
                          <w:b/>
                        </w:rPr>
                      </w:pPr>
                    </w:p>
                    <w:p w:rsidR="009524BD" w:rsidRDefault="009E6911">
                      <w:pPr>
                        <w:pStyle w:val="Standard"/>
                        <w:jc w:val="center"/>
                        <w:rPr>
                          <w:rFonts w:ascii="Arial" w:hAnsi="Arial" w:cs="Arial"/>
                          <w:b/>
                        </w:rPr>
                      </w:pPr>
                      <w:r>
                        <w:rPr>
                          <w:rFonts w:ascii="Arial" w:hAnsi="Arial" w:cs="Arial"/>
                          <w:b/>
                        </w:rPr>
                        <w:t>CAHIER DES CHARGES RELATIF À L’APPEL À CANDIDATURE POUR LA DESIGNATION DE LA PERSONNES QUALIFIEES</w:t>
                      </w:r>
                    </w:p>
                    <w:p w:rsidR="009524BD" w:rsidRDefault="009E6911">
                      <w:pPr>
                        <w:pStyle w:val="Standard"/>
                        <w:jc w:val="center"/>
                        <w:rPr>
                          <w:rFonts w:ascii="Arial" w:hAnsi="Arial" w:cs="Arial"/>
                          <w:b/>
                        </w:rPr>
                      </w:pPr>
                      <w:r>
                        <w:rPr>
                          <w:rFonts w:ascii="Arial" w:hAnsi="Arial" w:cs="Arial"/>
                          <w:b/>
                        </w:rPr>
                        <w:t>ETABLISSEMENTS SOCIAUX ET MEDICO-SOCIAUX</w:t>
                      </w:r>
                    </w:p>
                    <w:p w:rsidR="009524BD" w:rsidRDefault="009E6911">
                      <w:pPr>
                        <w:pStyle w:val="Standard"/>
                        <w:jc w:val="center"/>
                        <w:rPr>
                          <w:rFonts w:ascii="Arial" w:hAnsi="Arial" w:cs="Arial"/>
                          <w:b/>
                        </w:rPr>
                      </w:pPr>
                      <w:r>
                        <w:rPr>
                          <w:rFonts w:ascii="Arial" w:hAnsi="Arial" w:cs="Arial"/>
                          <w:b/>
                        </w:rPr>
                        <w:t>DANS LES BOUCHES-DU-RHONE</w:t>
                      </w:r>
                    </w:p>
                    <w:p w:rsidR="009524BD" w:rsidRDefault="009524BD">
                      <w:pPr>
                        <w:pStyle w:val="Standard"/>
                        <w:jc w:val="center"/>
                      </w:pPr>
                    </w:p>
                    <w:p w:rsidR="009524BD" w:rsidRDefault="009524BD">
                      <w:pPr>
                        <w:pStyle w:val="Standard"/>
                        <w:rPr>
                          <w:rFonts w:ascii="Arial" w:hAnsi="Arial" w:cs="Arial"/>
                          <w:b/>
                        </w:rPr>
                      </w:pPr>
                    </w:p>
                  </w:txbxContent>
                </v:textbox>
                <w10:wrap anchorx="margin"/>
              </v:shape>
            </w:pict>
          </mc:Fallback>
        </mc:AlternateContent>
      </w:r>
    </w:p>
    <w:p w:rsidR="009524BD" w:rsidRDefault="009524BD">
      <w:pPr>
        <w:pStyle w:val="Standard"/>
        <w:tabs>
          <w:tab w:val="left" w:pos="2505"/>
        </w:tabs>
        <w:rPr>
          <w:rFonts w:ascii="Arial" w:hAnsi="Arial" w:cs="Arial"/>
        </w:rPr>
      </w:pPr>
    </w:p>
    <w:p w:rsidR="009524BD" w:rsidRDefault="009524BD">
      <w:pPr>
        <w:pStyle w:val="Standard"/>
        <w:tabs>
          <w:tab w:val="left" w:pos="2505"/>
        </w:tabs>
        <w:rPr>
          <w:rFonts w:ascii="Arial" w:hAnsi="Arial" w:cs="Arial"/>
        </w:rPr>
      </w:pPr>
    </w:p>
    <w:p w:rsidR="009524BD" w:rsidRDefault="009524BD">
      <w:pPr>
        <w:pStyle w:val="Standard"/>
        <w:tabs>
          <w:tab w:val="left" w:pos="2505"/>
        </w:tabs>
        <w:rPr>
          <w:rFonts w:ascii="Arial" w:hAnsi="Arial" w:cs="Arial"/>
        </w:rPr>
      </w:pPr>
    </w:p>
    <w:p w:rsidR="009524BD" w:rsidRDefault="009524BD">
      <w:pPr>
        <w:pStyle w:val="Standard"/>
        <w:tabs>
          <w:tab w:val="left" w:pos="2505"/>
        </w:tabs>
        <w:rPr>
          <w:rFonts w:ascii="Arial" w:hAnsi="Arial" w:cs="Arial"/>
        </w:rPr>
      </w:pPr>
    </w:p>
    <w:p w:rsidR="009524BD" w:rsidRDefault="009524BD">
      <w:pPr>
        <w:pStyle w:val="Standard"/>
        <w:tabs>
          <w:tab w:val="left" w:pos="2505"/>
        </w:tabs>
        <w:rPr>
          <w:rFonts w:ascii="Arial" w:hAnsi="Arial" w:cs="Arial"/>
        </w:rPr>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jc w:val="center"/>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pPr>
    </w:p>
    <w:p w:rsidR="009524BD" w:rsidRDefault="009524BD">
      <w:pPr>
        <w:pStyle w:val="Standard"/>
        <w:tabs>
          <w:tab w:val="left" w:pos="2505"/>
        </w:tabs>
        <w:jc w:val="center"/>
      </w:pPr>
    </w:p>
    <w:p w:rsidR="009524BD" w:rsidRDefault="009524BD">
      <w:pPr>
        <w:pStyle w:val="Standard"/>
        <w:tabs>
          <w:tab w:val="left" w:pos="2505"/>
        </w:tabs>
        <w:jc w:val="center"/>
      </w:pPr>
    </w:p>
    <w:p w:rsidR="009524BD" w:rsidRDefault="009524BD">
      <w:pPr>
        <w:pStyle w:val="Standard"/>
        <w:tabs>
          <w:tab w:val="left" w:pos="2505"/>
        </w:tabs>
        <w:jc w:val="both"/>
      </w:pPr>
    </w:p>
    <w:p w:rsidR="009524BD" w:rsidRDefault="009E6911">
      <w:pPr>
        <w:pStyle w:val="Standard"/>
        <w:tabs>
          <w:tab w:val="left" w:pos="2505"/>
        </w:tabs>
        <w:jc w:val="both"/>
        <w:outlineLvl w:val="0"/>
      </w:pPr>
      <w:r>
        <w:rPr>
          <w:rFonts w:ascii="Arial" w:hAnsi="Arial" w:cs="Arial"/>
          <w:b/>
          <w:sz w:val="22"/>
          <w:szCs w:val="22"/>
        </w:rPr>
        <w:t>Textes de référence :</w:t>
      </w:r>
    </w:p>
    <w:p w:rsidR="009524BD" w:rsidRDefault="009524BD">
      <w:pPr>
        <w:pStyle w:val="Standard"/>
        <w:tabs>
          <w:tab w:val="left" w:pos="2505"/>
        </w:tabs>
        <w:jc w:val="both"/>
        <w:rPr>
          <w:rFonts w:ascii="Arial" w:hAnsi="Arial" w:cs="Arial"/>
          <w:b/>
          <w:sz w:val="22"/>
          <w:szCs w:val="22"/>
        </w:rPr>
      </w:pPr>
    </w:p>
    <w:p w:rsidR="009524BD" w:rsidRDefault="009E6911">
      <w:pPr>
        <w:pStyle w:val="Standard"/>
        <w:tabs>
          <w:tab w:val="left" w:pos="2505"/>
        </w:tabs>
        <w:jc w:val="both"/>
      </w:pPr>
      <w:r>
        <w:rPr>
          <w:rFonts w:ascii="Arial" w:hAnsi="Arial" w:cs="Arial"/>
          <w:b/>
          <w:sz w:val="22"/>
          <w:szCs w:val="22"/>
        </w:rPr>
        <w:t>Articles L.311-3 et</w:t>
      </w:r>
      <w:r>
        <w:rPr>
          <w:rFonts w:ascii="Arial" w:hAnsi="Arial" w:cs="Arial"/>
          <w:b/>
          <w:sz w:val="22"/>
          <w:szCs w:val="22"/>
        </w:rPr>
        <w:t xml:space="preserve"> L 311-5 et R.311-1 ; L.313-3 a, b et d du Code de l’Action Sociale et des Familles (CASF).</w:t>
      </w:r>
    </w:p>
    <w:p w:rsidR="009524BD" w:rsidRDefault="009524BD">
      <w:pPr>
        <w:pStyle w:val="Standard"/>
        <w:outlineLvl w:val="0"/>
        <w:rPr>
          <w:rFonts w:ascii="Arial" w:hAnsi="Arial" w:cs="Arial"/>
          <w:b/>
        </w:rPr>
      </w:pPr>
      <w:bookmarkStart w:id="1" w:name="OLE_LINK3"/>
    </w:p>
    <w:p w:rsidR="009524BD" w:rsidRDefault="009524BD">
      <w:pPr>
        <w:pStyle w:val="Standard"/>
        <w:jc w:val="both"/>
        <w:rPr>
          <w:rFonts w:ascii="Arial" w:hAnsi="Arial" w:cs="Arial"/>
          <w:b/>
          <w:bCs/>
        </w:rPr>
      </w:pPr>
    </w:p>
    <w:p w:rsidR="009524BD" w:rsidRDefault="009E6911">
      <w:pPr>
        <w:pStyle w:val="Textbody"/>
        <w:numPr>
          <w:ilvl w:val="0"/>
          <w:numId w:val="28"/>
        </w:numPr>
        <w:rPr>
          <w:b/>
          <w:iCs/>
          <w:color w:val="0000FF"/>
          <w:sz w:val="32"/>
          <w:szCs w:val="32"/>
          <w:u w:val="single"/>
        </w:rPr>
      </w:pPr>
      <w:r>
        <w:rPr>
          <w:b/>
          <w:iCs/>
          <w:color w:val="0000FF"/>
          <w:sz w:val="32"/>
          <w:szCs w:val="32"/>
          <w:u w:val="single"/>
        </w:rPr>
        <w:t>Les conditions de désignation de la personne qualifiée</w:t>
      </w:r>
    </w:p>
    <w:p w:rsidR="009524BD" w:rsidRDefault="009524BD">
      <w:pPr>
        <w:pStyle w:val="Standard"/>
        <w:jc w:val="both"/>
        <w:rPr>
          <w:rFonts w:ascii="Arial" w:hAnsi="Arial" w:cs="Arial"/>
          <w:b/>
          <w:bCs/>
          <w:iCs/>
          <w:color w:val="0000FF"/>
          <w:sz w:val="32"/>
          <w:szCs w:val="32"/>
          <w:u w:val="single"/>
        </w:rPr>
      </w:pPr>
    </w:p>
    <w:bookmarkEnd w:id="1"/>
    <w:p w:rsidR="009524BD" w:rsidRDefault="009524BD">
      <w:pPr>
        <w:pStyle w:val="Standard"/>
        <w:rPr>
          <w:rFonts w:ascii="Arial" w:hAnsi="Arial" w:cs="Arial"/>
          <w:b/>
          <w:bCs/>
        </w:rPr>
      </w:pPr>
    </w:p>
    <w:p w:rsidR="009524BD" w:rsidRDefault="009E6911">
      <w:pPr>
        <w:pStyle w:val="Standard"/>
        <w:numPr>
          <w:ilvl w:val="0"/>
          <w:numId w:val="29"/>
        </w:numPr>
        <w:rPr>
          <w:rFonts w:ascii="Arial" w:hAnsi="Arial" w:cs="Arial"/>
          <w:b/>
          <w:bCs/>
          <w:color w:val="0000FF"/>
          <w:u w:val="single"/>
        </w:rPr>
      </w:pPr>
      <w:r>
        <w:rPr>
          <w:rFonts w:ascii="Arial" w:hAnsi="Arial" w:cs="Arial"/>
          <w:b/>
          <w:bCs/>
          <w:color w:val="0000FF"/>
          <w:u w:val="single"/>
        </w:rPr>
        <w:t>Le cadre règlementaire</w:t>
      </w:r>
    </w:p>
    <w:p w:rsidR="009524BD" w:rsidRDefault="009524BD">
      <w:pPr>
        <w:pStyle w:val="Standard"/>
        <w:ind w:left="720"/>
        <w:rPr>
          <w:rFonts w:ascii="Arial" w:hAnsi="Arial" w:cs="Arial"/>
          <w:b/>
          <w:bCs/>
          <w:color w:val="0000FF"/>
          <w:u w:val="single"/>
        </w:rPr>
      </w:pPr>
    </w:p>
    <w:p w:rsidR="009524BD" w:rsidRDefault="009E6911">
      <w:pPr>
        <w:pStyle w:val="Standard"/>
        <w:outlineLvl w:val="0"/>
        <w:rPr>
          <w:rFonts w:ascii="Arial" w:hAnsi="Arial" w:cs="Arial"/>
          <w:b/>
        </w:rPr>
      </w:pPr>
      <w:r>
        <w:rPr>
          <w:rFonts w:ascii="Arial" w:hAnsi="Arial" w:cs="Arial"/>
          <w:b/>
        </w:rPr>
        <w:t>L’article L.311-5 du CASF dispose que :</w:t>
      </w:r>
    </w:p>
    <w:p w:rsidR="009524BD" w:rsidRDefault="009524BD">
      <w:pPr>
        <w:pStyle w:val="Standard"/>
        <w:rPr>
          <w:rFonts w:ascii="Arial" w:hAnsi="Arial" w:cs="Arial"/>
          <w:b/>
          <w:sz w:val="16"/>
        </w:rPr>
      </w:pPr>
    </w:p>
    <w:p w:rsidR="009524BD" w:rsidRDefault="009E6911">
      <w:pPr>
        <w:pStyle w:val="Textbody"/>
      </w:pPr>
      <w:r>
        <w:t xml:space="preserve">« Toute personne prise en charge par un </w:t>
      </w:r>
      <w:r>
        <w:t xml:space="preserve">établissement ou un service social ou médico-social ou son représentant légal peut faire appel, en vue de l’aider à faire valoir ses droits, à une </w:t>
      </w:r>
      <w:r>
        <w:rPr>
          <w:b/>
          <w:bCs/>
        </w:rPr>
        <w:t>personne qualifiée</w:t>
      </w:r>
      <w:r>
        <w:t xml:space="preserve"> qu’elle choisit sur une liste établie conjointement par le représentant de l’Etat dans le </w:t>
      </w:r>
      <w:r>
        <w:t>département, le Directeur Général de l’Agence Régionale de Santé (DGARS) et la Présidente du Conseil Départemental des Bouches-du-Rhône</w:t>
      </w:r>
      <w:r>
        <w:rPr>
          <w:rStyle w:val="Marquedecommentaire"/>
          <w:rFonts w:ascii="Times New Roman" w:eastAsia="Times New Roman" w:hAnsi="Times New Roman" w:cs="Times New Roman"/>
        </w:rPr>
        <w:t xml:space="preserve">. </w:t>
      </w:r>
      <w:r>
        <w:t xml:space="preserve"> La personne qualifiée rend compte de ses interventions aux autorités chargées du contrôle des établissements ou servic</w:t>
      </w:r>
      <w:r>
        <w:t>es concernés, à l’intéressé ou à son représentant légal… ».</w:t>
      </w:r>
    </w:p>
    <w:p w:rsidR="009524BD" w:rsidRDefault="009524BD">
      <w:pPr>
        <w:pStyle w:val="Textbody"/>
        <w:rPr>
          <w:i/>
          <w:iCs/>
        </w:rPr>
      </w:pPr>
    </w:p>
    <w:p w:rsidR="009524BD" w:rsidRDefault="009E6911">
      <w:pPr>
        <w:pStyle w:val="Commentaire"/>
        <w:jc w:val="both"/>
      </w:pPr>
      <w:r>
        <w:rPr>
          <w:rFonts w:ascii="Arial" w:eastAsia="Arial" w:hAnsi="Arial" w:cs="Arial"/>
          <w:sz w:val="24"/>
          <w:szCs w:val="24"/>
        </w:rPr>
        <w:t xml:space="preserve">La personne qualifiée a pour mission d’aider à faire valoir les droits de l’usager ou de son représentant légal au sein des Établissements et Services Sociaux et Médico-Sociaux (ESSMS) définis à </w:t>
      </w:r>
      <w:r>
        <w:rPr>
          <w:rFonts w:ascii="Arial" w:eastAsia="Arial" w:hAnsi="Arial" w:cs="Arial"/>
          <w:sz w:val="24"/>
          <w:szCs w:val="24"/>
        </w:rPr>
        <w:t>l’article L.312-1 du CASF notamment concernant les secteurs de l’enfance, du handicap, des personnes âgées et des personnes confrontées à des difficultés spécifiques ou sociales</w:t>
      </w:r>
      <w:r>
        <w:t xml:space="preserve">. </w:t>
      </w:r>
      <w:r>
        <w:rPr>
          <w:rFonts w:ascii="Arial" w:eastAsia="Arial" w:hAnsi="Arial" w:cs="Arial"/>
          <w:sz w:val="24"/>
          <w:szCs w:val="24"/>
        </w:rPr>
        <w:t>L’esprit de la loi est bien que l’usager dispose d’un soutien à la résolution</w:t>
      </w:r>
      <w:r>
        <w:rPr>
          <w:rFonts w:ascii="Arial" w:eastAsia="Arial" w:hAnsi="Arial" w:cs="Arial"/>
          <w:sz w:val="24"/>
          <w:szCs w:val="24"/>
        </w:rPr>
        <w:t xml:space="preserve"> d’un conflit personnel ou collectif.</w:t>
      </w:r>
    </w:p>
    <w:p w:rsidR="009524BD" w:rsidRDefault="009524BD">
      <w:pPr>
        <w:pStyle w:val="Standard"/>
        <w:rPr>
          <w:rFonts w:ascii="Arial" w:hAnsi="Arial" w:cs="Arial"/>
        </w:rPr>
      </w:pPr>
    </w:p>
    <w:p w:rsidR="009524BD" w:rsidRDefault="009524BD">
      <w:pPr>
        <w:pStyle w:val="Standard"/>
        <w:ind w:left="720"/>
        <w:rPr>
          <w:rFonts w:ascii="Arial" w:hAnsi="Arial" w:cs="Arial"/>
          <w:b/>
          <w:bCs/>
          <w:color w:val="0000FF"/>
          <w:u w:val="single"/>
        </w:rPr>
      </w:pPr>
    </w:p>
    <w:p w:rsidR="009524BD" w:rsidRDefault="009E6911">
      <w:pPr>
        <w:pStyle w:val="Standard"/>
        <w:numPr>
          <w:ilvl w:val="0"/>
          <w:numId w:val="15"/>
        </w:numPr>
      </w:pPr>
      <w:r>
        <w:rPr>
          <w:rFonts w:ascii="Arial" w:hAnsi="Arial" w:cs="Arial"/>
          <w:b/>
          <w:bCs/>
          <w:color w:val="0000FF"/>
          <w:u w:val="single"/>
        </w:rPr>
        <w:t>Statut et compétences</w:t>
      </w:r>
    </w:p>
    <w:p w:rsidR="009524BD" w:rsidRDefault="009524BD">
      <w:pPr>
        <w:pStyle w:val="Standard"/>
        <w:rPr>
          <w:rFonts w:ascii="Arial" w:hAnsi="Arial" w:cs="Arial"/>
          <w:b/>
          <w:bCs/>
          <w:color w:val="0000FF"/>
          <w:u w:val="single"/>
        </w:rPr>
      </w:pPr>
    </w:p>
    <w:p w:rsidR="009524BD" w:rsidRDefault="009524BD">
      <w:pPr>
        <w:pStyle w:val="Textbody"/>
      </w:pPr>
    </w:p>
    <w:p w:rsidR="009524BD" w:rsidRDefault="009E6911">
      <w:pPr>
        <w:pStyle w:val="Textbody"/>
      </w:pPr>
      <w:r>
        <w:t>Les personnes qualifiées sont nommées conjointement par Présidente du Conseil Départemental des Bouches-du-Rhône, le Préfet de département, et le Directeur de l’Agence Régionale de Santé.</w:t>
      </w:r>
    </w:p>
    <w:p w:rsidR="009524BD" w:rsidRDefault="009524BD">
      <w:pPr>
        <w:pStyle w:val="Standard"/>
        <w:jc w:val="both"/>
        <w:rPr>
          <w:rFonts w:ascii="Arial" w:hAnsi="Arial" w:cs="Arial"/>
        </w:rPr>
      </w:pPr>
    </w:p>
    <w:p w:rsidR="009524BD" w:rsidRDefault="009E6911">
      <w:pPr>
        <w:pStyle w:val="Corpsdetexte2"/>
      </w:pPr>
      <w:r>
        <w:rPr>
          <w:b w:val="0"/>
        </w:rPr>
        <w:t xml:space="preserve">La </w:t>
      </w:r>
      <w:r>
        <w:rPr>
          <w:b w:val="0"/>
        </w:rPr>
        <w:t>personne qualifiée est bénévole, elle peut être retraitée du secteur social ou médico-social, membre d’une association, ou formateur, etc...</w:t>
      </w:r>
    </w:p>
    <w:p w:rsidR="009524BD" w:rsidRDefault="009524BD">
      <w:pPr>
        <w:pStyle w:val="Corpsdetexte2"/>
      </w:pPr>
    </w:p>
    <w:p w:rsidR="009524BD" w:rsidRDefault="009524BD">
      <w:pPr>
        <w:pStyle w:val="Corpsdetexte2"/>
        <w:rPr>
          <w:b w:val="0"/>
        </w:rPr>
      </w:pPr>
    </w:p>
    <w:p w:rsidR="009524BD" w:rsidRDefault="009E6911">
      <w:pPr>
        <w:pStyle w:val="Standard"/>
        <w:jc w:val="both"/>
      </w:pPr>
      <w:r>
        <w:rPr>
          <w:rFonts w:ascii="Arial" w:hAnsi="Arial" w:cs="Arial"/>
          <w:b/>
          <w:bCs/>
        </w:rPr>
        <w:t>Ainsi, la personne qualifiée est indépendante des collectivités publiques et des structures d’accueil.</w:t>
      </w:r>
      <w:r>
        <w:t xml:space="preserve"> </w:t>
      </w:r>
      <w:r>
        <w:rPr>
          <w:rFonts w:ascii="Arial" w:hAnsi="Arial" w:cs="Arial"/>
          <w:b/>
          <w:bCs/>
        </w:rPr>
        <w:t>Elle ne s’</w:t>
      </w:r>
      <w:r>
        <w:rPr>
          <w:rFonts w:ascii="Arial" w:hAnsi="Arial" w:cs="Arial"/>
          <w:b/>
          <w:bCs/>
        </w:rPr>
        <w:t xml:space="preserve">entend pas comme étant un </w:t>
      </w:r>
      <w:r>
        <w:rPr>
          <w:rFonts w:ascii="Arial" w:hAnsi="Arial" w:cs="Arial"/>
          <w:b/>
          <w:bCs/>
          <w:i/>
          <w:iCs/>
        </w:rPr>
        <w:t>médiateur</w:t>
      </w:r>
      <w:r>
        <w:rPr>
          <w:rFonts w:ascii="Arial" w:hAnsi="Arial" w:cs="Arial"/>
          <w:b/>
          <w:bCs/>
        </w:rPr>
        <w:t xml:space="preserve">, mais comme un </w:t>
      </w:r>
      <w:r>
        <w:rPr>
          <w:rFonts w:ascii="Arial" w:hAnsi="Arial" w:cs="Arial"/>
          <w:b/>
          <w:bCs/>
          <w:i/>
          <w:iCs/>
        </w:rPr>
        <w:t>défenseur</w:t>
      </w:r>
      <w:r>
        <w:rPr>
          <w:rFonts w:ascii="Arial" w:hAnsi="Arial" w:cs="Arial"/>
          <w:b/>
          <w:bCs/>
        </w:rPr>
        <w:t xml:space="preserve"> des droits de l’usager.</w:t>
      </w:r>
    </w:p>
    <w:p w:rsidR="009524BD" w:rsidRDefault="009524BD">
      <w:pPr>
        <w:pStyle w:val="Corpsdetexte2"/>
        <w:rPr>
          <w:b w:val="0"/>
          <w:bCs w:val="0"/>
        </w:rPr>
      </w:pPr>
    </w:p>
    <w:p w:rsidR="009524BD" w:rsidRDefault="009524BD">
      <w:pPr>
        <w:pStyle w:val="Corpsdetexte2"/>
        <w:rPr>
          <w:b w:val="0"/>
          <w:bCs w:val="0"/>
        </w:rPr>
      </w:pPr>
    </w:p>
    <w:p w:rsidR="009524BD" w:rsidRDefault="009E6911">
      <w:pPr>
        <w:pStyle w:val="Standard"/>
        <w:jc w:val="both"/>
        <w:rPr>
          <w:rFonts w:ascii="Arial" w:hAnsi="Arial" w:cs="Arial"/>
          <w:b/>
          <w:bCs/>
        </w:rPr>
      </w:pPr>
      <w:r>
        <w:rPr>
          <w:rFonts w:ascii="Arial" w:hAnsi="Arial" w:cs="Arial"/>
          <w:b/>
          <w:bCs/>
        </w:rPr>
        <w:t>Le candidat doit :</w:t>
      </w:r>
    </w:p>
    <w:p w:rsidR="009524BD" w:rsidRDefault="009524BD">
      <w:pPr>
        <w:pStyle w:val="Standard"/>
        <w:jc w:val="both"/>
        <w:rPr>
          <w:rFonts w:ascii="Arial" w:hAnsi="Arial" w:cs="Arial"/>
          <w:b/>
          <w:bCs/>
          <w:sz w:val="8"/>
        </w:rPr>
      </w:pPr>
    </w:p>
    <w:p w:rsidR="009524BD" w:rsidRDefault="009E6911">
      <w:pPr>
        <w:pStyle w:val="Standard"/>
        <w:numPr>
          <w:ilvl w:val="0"/>
          <w:numId w:val="30"/>
        </w:numPr>
        <w:jc w:val="both"/>
        <w:rPr>
          <w:rFonts w:ascii="Arial" w:hAnsi="Arial" w:cs="Arial"/>
        </w:rPr>
      </w:pPr>
      <w:r>
        <w:rPr>
          <w:rFonts w:ascii="Arial" w:hAnsi="Arial" w:cs="Arial"/>
        </w:rPr>
        <w:t>Présenter des garanties de moralité et de neutralité,</w:t>
      </w:r>
    </w:p>
    <w:p w:rsidR="009524BD" w:rsidRDefault="009524BD">
      <w:pPr>
        <w:pStyle w:val="Standard"/>
        <w:ind w:left="705"/>
        <w:jc w:val="both"/>
        <w:rPr>
          <w:rFonts w:ascii="Arial" w:hAnsi="Arial" w:cs="Arial"/>
          <w:sz w:val="16"/>
        </w:rPr>
      </w:pPr>
    </w:p>
    <w:p w:rsidR="009524BD" w:rsidRDefault="009E6911">
      <w:pPr>
        <w:pStyle w:val="Standard"/>
        <w:numPr>
          <w:ilvl w:val="0"/>
          <w:numId w:val="8"/>
        </w:numPr>
        <w:jc w:val="both"/>
        <w:rPr>
          <w:rFonts w:ascii="Arial" w:hAnsi="Arial" w:cs="Arial"/>
        </w:rPr>
      </w:pPr>
      <w:r>
        <w:rPr>
          <w:rFonts w:ascii="Arial" w:hAnsi="Arial" w:cs="Arial"/>
        </w:rPr>
        <w:t>Ne pas détenir directement ou indirectement des intérêts particuliers, quelle que soit leur na</w:t>
      </w:r>
      <w:r>
        <w:rPr>
          <w:rFonts w:ascii="Arial" w:hAnsi="Arial" w:cs="Arial"/>
        </w:rPr>
        <w:t>ture ou être salarié dans les associations, établissements, services ou lieux de vie et d’accueil intéressés par la demande,</w:t>
      </w:r>
    </w:p>
    <w:p w:rsidR="009524BD" w:rsidRDefault="009524BD">
      <w:pPr>
        <w:pStyle w:val="Paragraphedeliste"/>
        <w:rPr>
          <w:rFonts w:ascii="Arial" w:hAnsi="Arial" w:cs="Arial"/>
        </w:rPr>
      </w:pPr>
    </w:p>
    <w:p w:rsidR="009524BD" w:rsidRDefault="009E6911">
      <w:pPr>
        <w:pStyle w:val="Standard"/>
        <w:numPr>
          <w:ilvl w:val="0"/>
          <w:numId w:val="8"/>
        </w:numPr>
        <w:jc w:val="both"/>
        <w:rPr>
          <w:rFonts w:ascii="Arial" w:hAnsi="Arial" w:cs="Arial"/>
        </w:rPr>
      </w:pPr>
      <w:r>
        <w:rPr>
          <w:rFonts w:ascii="Arial" w:hAnsi="Arial" w:cs="Arial"/>
        </w:rPr>
        <w:t>Informer l’administration de ses liens actuels ou passés avec des fédérations ou des groupements d’établissement ou de services,</w:t>
      </w:r>
    </w:p>
    <w:p w:rsidR="009524BD" w:rsidRDefault="009524BD">
      <w:pPr>
        <w:pStyle w:val="Standard"/>
        <w:jc w:val="both"/>
        <w:rPr>
          <w:rFonts w:ascii="Arial" w:hAnsi="Arial" w:cs="Arial"/>
          <w:sz w:val="16"/>
        </w:rPr>
      </w:pPr>
    </w:p>
    <w:p w:rsidR="009524BD" w:rsidRDefault="009E6911">
      <w:pPr>
        <w:pStyle w:val="Standard"/>
        <w:numPr>
          <w:ilvl w:val="0"/>
          <w:numId w:val="8"/>
        </w:numPr>
        <w:jc w:val="both"/>
        <w:rPr>
          <w:rFonts w:ascii="Arial" w:hAnsi="Arial" w:cs="Arial"/>
        </w:rPr>
      </w:pPr>
      <w:r>
        <w:rPr>
          <w:rFonts w:ascii="Arial" w:hAnsi="Arial" w:cs="Arial"/>
        </w:rPr>
        <w:lastRenderedPageBreak/>
        <w:t>Avoir une bonne connaissance du secteur social et médico-social et de l’organisation administrative et judiciaire,</w:t>
      </w:r>
    </w:p>
    <w:p w:rsidR="009524BD" w:rsidRDefault="009524BD">
      <w:pPr>
        <w:pStyle w:val="Standard"/>
        <w:jc w:val="both"/>
        <w:rPr>
          <w:rFonts w:ascii="Arial" w:hAnsi="Arial" w:cs="Arial"/>
          <w:sz w:val="16"/>
        </w:rPr>
      </w:pPr>
    </w:p>
    <w:p w:rsidR="009524BD" w:rsidRDefault="009E6911">
      <w:pPr>
        <w:pStyle w:val="Standard"/>
        <w:numPr>
          <w:ilvl w:val="0"/>
          <w:numId w:val="8"/>
        </w:numPr>
        <w:jc w:val="both"/>
        <w:rPr>
          <w:rFonts w:ascii="Arial" w:hAnsi="Arial" w:cs="Arial"/>
        </w:rPr>
      </w:pPr>
      <w:r>
        <w:rPr>
          <w:rFonts w:ascii="Arial" w:hAnsi="Arial" w:cs="Arial"/>
        </w:rPr>
        <w:t>Présenter des compétences en matière de droit social et sanitaire.</w:t>
      </w:r>
    </w:p>
    <w:p w:rsidR="009524BD" w:rsidRDefault="009524BD">
      <w:pPr>
        <w:pStyle w:val="Standard"/>
        <w:jc w:val="both"/>
        <w:rPr>
          <w:rFonts w:ascii="Arial" w:hAnsi="Arial" w:cs="Arial"/>
        </w:rPr>
      </w:pPr>
    </w:p>
    <w:p w:rsidR="009524BD" w:rsidRDefault="009E6911">
      <w:pPr>
        <w:pStyle w:val="Corpsdetexte2"/>
      </w:pPr>
      <w:r>
        <w:rPr>
          <w:b w:val="0"/>
        </w:rPr>
        <w:t>De plus, la personne qualifiée est tenue à une obligation de discrétion.</w:t>
      </w:r>
      <w:r>
        <w:rPr>
          <w:b w:val="0"/>
        </w:rPr>
        <w:t xml:space="preserve"> Aussi, il sera demandé à la personne qualifiée nommée, de prendre connaissance et de signer </w:t>
      </w:r>
      <w:r>
        <w:rPr>
          <w:bCs w:val="0"/>
        </w:rPr>
        <w:t>la charte éthique</w:t>
      </w:r>
      <w:r>
        <w:rPr>
          <w:b w:val="0"/>
        </w:rPr>
        <w:t xml:space="preserve"> </w:t>
      </w:r>
      <w:r>
        <w:rPr>
          <w:bCs w:val="0"/>
        </w:rPr>
        <w:t>(cf. Annexe 1)</w:t>
      </w:r>
      <w:r>
        <w:rPr>
          <w:b w:val="0"/>
        </w:rPr>
        <w:t xml:space="preserve"> et de transmettre un extrait du casier judiciaire (bulletin n°3).</w:t>
      </w:r>
    </w:p>
    <w:p w:rsidR="009524BD" w:rsidRDefault="009524BD">
      <w:pPr>
        <w:pStyle w:val="Textbody"/>
        <w:rPr>
          <w:b/>
          <w:bCs/>
        </w:rPr>
      </w:pPr>
    </w:p>
    <w:p w:rsidR="009524BD" w:rsidRDefault="009E6911">
      <w:pPr>
        <w:pStyle w:val="Standard"/>
        <w:spacing w:after="200" w:line="276" w:lineRule="auto"/>
        <w:jc w:val="both"/>
      </w:pPr>
      <w:r>
        <w:rPr>
          <w:rFonts w:ascii="Arial" w:hAnsi="Arial" w:cs="Arial"/>
          <w:bCs/>
        </w:rPr>
        <w:t xml:space="preserve">La personne qualifiée </w:t>
      </w:r>
      <w:r>
        <w:rPr>
          <w:rFonts w:ascii="Arial" w:hAnsi="Arial" w:cs="Arial"/>
          <w:b/>
        </w:rPr>
        <w:t>n’est PAS :</w:t>
      </w:r>
    </w:p>
    <w:p w:rsidR="009524BD" w:rsidRDefault="009E6911">
      <w:pPr>
        <w:pStyle w:val="Standard"/>
        <w:numPr>
          <w:ilvl w:val="0"/>
          <w:numId w:val="31"/>
        </w:numPr>
        <w:spacing w:after="200" w:line="276" w:lineRule="auto"/>
        <w:jc w:val="both"/>
        <w:rPr>
          <w:rFonts w:ascii="Arial" w:hAnsi="Arial" w:cs="Arial"/>
          <w:bCs/>
        </w:rPr>
      </w:pPr>
      <w:r>
        <w:rPr>
          <w:rFonts w:ascii="Arial" w:hAnsi="Arial" w:cs="Arial"/>
          <w:bCs/>
        </w:rPr>
        <w:t>Un avocat</w:t>
      </w:r>
    </w:p>
    <w:p w:rsidR="009524BD" w:rsidRDefault="009E6911">
      <w:pPr>
        <w:pStyle w:val="Standard"/>
        <w:numPr>
          <w:ilvl w:val="0"/>
          <w:numId w:val="23"/>
        </w:numPr>
        <w:spacing w:after="200" w:line="276" w:lineRule="auto"/>
        <w:jc w:val="both"/>
        <w:rPr>
          <w:rFonts w:ascii="Arial" w:hAnsi="Arial" w:cs="Arial"/>
          <w:bCs/>
        </w:rPr>
      </w:pPr>
      <w:r>
        <w:rPr>
          <w:rFonts w:ascii="Arial" w:hAnsi="Arial" w:cs="Arial"/>
          <w:bCs/>
        </w:rPr>
        <w:t>Un arbitre</w:t>
      </w:r>
    </w:p>
    <w:p w:rsidR="009524BD" w:rsidRDefault="009E6911">
      <w:pPr>
        <w:pStyle w:val="Standard"/>
        <w:numPr>
          <w:ilvl w:val="0"/>
          <w:numId w:val="23"/>
        </w:numPr>
        <w:spacing w:after="200" w:line="276" w:lineRule="auto"/>
        <w:jc w:val="both"/>
        <w:rPr>
          <w:rFonts w:ascii="Arial" w:hAnsi="Arial" w:cs="Arial"/>
          <w:bCs/>
        </w:rPr>
      </w:pPr>
      <w:r>
        <w:rPr>
          <w:rFonts w:ascii="Arial" w:hAnsi="Arial" w:cs="Arial"/>
          <w:bCs/>
        </w:rPr>
        <w:t xml:space="preserve">Un </w:t>
      </w:r>
      <w:r>
        <w:rPr>
          <w:rFonts w:ascii="Arial" w:hAnsi="Arial" w:cs="Arial"/>
          <w:bCs/>
        </w:rPr>
        <w:t>conciliateur / médiateur</w:t>
      </w:r>
    </w:p>
    <w:p w:rsidR="009524BD" w:rsidRDefault="009E6911">
      <w:pPr>
        <w:pStyle w:val="Standard"/>
        <w:numPr>
          <w:ilvl w:val="0"/>
          <w:numId w:val="23"/>
        </w:numPr>
        <w:spacing w:after="200" w:line="276" w:lineRule="auto"/>
        <w:jc w:val="both"/>
        <w:rPr>
          <w:rFonts w:ascii="Arial" w:hAnsi="Arial" w:cs="Arial"/>
          <w:bCs/>
        </w:rPr>
      </w:pPr>
      <w:r>
        <w:rPr>
          <w:rFonts w:ascii="Arial" w:hAnsi="Arial" w:cs="Arial"/>
          <w:bCs/>
        </w:rPr>
        <w:t>N’exerce pas de mission de contrôle ou d’évaluation des établissements et services</w:t>
      </w:r>
    </w:p>
    <w:p w:rsidR="009524BD" w:rsidRDefault="009E6911">
      <w:pPr>
        <w:pStyle w:val="Standard"/>
        <w:numPr>
          <w:ilvl w:val="0"/>
          <w:numId w:val="23"/>
        </w:numPr>
        <w:spacing w:after="200" w:line="276" w:lineRule="auto"/>
        <w:jc w:val="both"/>
        <w:rPr>
          <w:rFonts w:ascii="Arial" w:hAnsi="Arial" w:cs="Arial"/>
          <w:bCs/>
        </w:rPr>
      </w:pPr>
      <w:r>
        <w:rPr>
          <w:rFonts w:ascii="Arial" w:hAnsi="Arial" w:cs="Arial"/>
          <w:bCs/>
        </w:rPr>
        <w:t>Ne dispose pas de pouvoirs d’injonction vis-à-vis de l’établissement ni vis-à-vis de l’administration – il appartient en effet aux autorités adminis</w:t>
      </w:r>
      <w:r>
        <w:rPr>
          <w:rFonts w:ascii="Arial" w:hAnsi="Arial" w:cs="Arial"/>
          <w:bCs/>
        </w:rPr>
        <w:t>tratives et éventuellement judiciaires de diligenter les contrôles nécessaires</w:t>
      </w:r>
    </w:p>
    <w:p w:rsidR="009524BD" w:rsidRDefault="009E6911">
      <w:pPr>
        <w:pStyle w:val="Standard"/>
        <w:numPr>
          <w:ilvl w:val="0"/>
          <w:numId w:val="23"/>
        </w:numPr>
        <w:spacing w:after="200" w:line="276" w:lineRule="auto"/>
        <w:jc w:val="both"/>
        <w:rPr>
          <w:rFonts w:ascii="Arial" w:hAnsi="Arial" w:cs="Arial"/>
          <w:bCs/>
        </w:rPr>
      </w:pPr>
      <w:r>
        <w:rPr>
          <w:rFonts w:ascii="Arial" w:hAnsi="Arial" w:cs="Arial"/>
          <w:bCs/>
        </w:rPr>
        <w:t>N’est pas en mesure de faire des recommandations aux équipes de l’établissement ou du service concerné</w:t>
      </w:r>
    </w:p>
    <w:p w:rsidR="009524BD" w:rsidRDefault="009E6911">
      <w:pPr>
        <w:pStyle w:val="Standard"/>
        <w:numPr>
          <w:ilvl w:val="0"/>
          <w:numId w:val="23"/>
        </w:numPr>
        <w:rPr>
          <w:rFonts w:ascii="Arial" w:hAnsi="Arial" w:cs="Arial"/>
          <w:bCs/>
        </w:rPr>
      </w:pPr>
      <w:r>
        <w:rPr>
          <w:rFonts w:ascii="Arial" w:hAnsi="Arial" w:cs="Arial"/>
          <w:bCs/>
        </w:rPr>
        <w:t>Ne peut pas s’autosaisir</w:t>
      </w:r>
    </w:p>
    <w:p w:rsidR="009524BD" w:rsidRDefault="009524BD">
      <w:pPr>
        <w:pStyle w:val="Standard"/>
        <w:ind w:left="720"/>
        <w:rPr>
          <w:rFonts w:ascii="Arial" w:hAnsi="Arial" w:cs="Arial"/>
          <w:bCs/>
        </w:rPr>
      </w:pPr>
    </w:p>
    <w:p w:rsidR="009524BD" w:rsidRDefault="009E6911">
      <w:pPr>
        <w:pStyle w:val="Standard"/>
        <w:numPr>
          <w:ilvl w:val="0"/>
          <w:numId w:val="23"/>
        </w:numPr>
        <w:rPr>
          <w:rFonts w:ascii="Arial" w:hAnsi="Arial" w:cs="Arial"/>
          <w:bCs/>
        </w:rPr>
      </w:pPr>
      <w:r>
        <w:rPr>
          <w:rFonts w:ascii="Arial" w:hAnsi="Arial" w:cs="Arial"/>
          <w:bCs/>
        </w:rPr>
        <w:t>Ne se substitue pas au représentant légal de l’u</w:t>
      </w:r>
      <w:r>
        <w:rPr>
          <w:rFonts w:ascii="Arial" w:hAnsi="Arial" w:cs="Arial"/>
          <w:bCs/>
        </w:rPr>
        <w:t>sager.</w:t>
      </w:r>
    </w:p>
    <w:p w:rsidR="009524BD" w:rsidRDefault="009524BD">
      <w:pPr>
        <w:pStyle w:val="Paragraphedeliste"/>
        <w:rPr>
          <w:rFonts w:ascii="Arial" w:hAnsi="Arial" w:cs="Arial"/>
          <w:bCs/>
        </w:rPr>
      </w:pPr>
    </w:p>
    <w:p w:rsidR="009524BD" w:rsidRDefault="009524BD">
      <w:pPr>
        <w:pStyle w:val="Standard"/>
        <w:rPr>
          <w:rFonts w:ascii="Arial" w:hAnsi="Arial" w:cs="Arial"/>
        </w:rPr>
      </w:pPr>
    </w:p>
    <w:p w:rsidR="009524BD" w:rsidRDefault="009E6911">
      <w:pPr>
        <w:pStyle w:val="Textbody"/>
        <w:numPr>
          <w:ilvl w:val="0"/>
          <w:numId w:val="16"/>
        </w:numPr>
        <w:rPr>
          <w:b/>
          <w:iCs/>
          <w:color w:val="0000FF"/>
          <w:sz w:val="32"/>
          <w:szCs w:val="32"/>
          <w:u w:val="single"/>
        </w:rPr>
      </w:pPr>
      <w:r>
        <w:rPr>
          <w:b/>
          <w:iCs/>
          <w:color w:val="0000FF"/>
          <w:sz w:val="32"/>
          <w:szCs w:val="32"/>
          <w:u w:val="single"/>
        </w:rPr>
        <w:t>Les conditions d’exercice de la mission</w:t>
      </w:r>
    </w:p>
    <w:p w:rsidR="009524BD" w:rsidRDefault="009524BD">
      <w:pPr>
        <w:pStyle w:val="Standard"/>
        <w:rPr>
          <w:rFonts w:ascii="Arial" w:hAnsi="Arial" w:cs="Arial"/>
          <w:b/>
          <w:iCs/>
          <w:color w:val="0000FF"/>
          <w:sz w:val="32"/>
          <w:szCs w:val="32"/>
          <w:u w:val="single"/>
        </w:rPr>
      </w:pPr>
    </w:p>
    <w:p w:rsidR="009524BD" w:rsidRDefault="009E6911">
      <w:pPr>
        <w:pStyle w:val="Standard"/>
        <w:numPr>
          <w:ilvl w:val="0"/>
          <w:numId w:val="32"/>
        </w:numPr>
        <w:rPr>
          <w:rFonts w:ascii="Arial" w:hAnsi="Arial" w:cs="Arial"/>
          <w:b/>
          <w:bCs/>
        </w:rPr>
      </w:pPr>
      <w:r>
        <w:rPr>
          <w:rFonts w:ascii="Arial" w:hAnsi="Arial" w:cs="Arial"/>
          <w:b/>
          <w:bCs/>
        </w:rPr>
        <w:t>Les conditions générales</w:t>
      </w:r>
    </w:p>
    <w:p w:rsidR="009524BD" w:rsidRDefault="009524BD">
      <w:pPr>
        <w:pStyle w:val="Standard"/>
        <w:ind w:left="720"/>
        <w:rPr>
          <w:rFonts w:ascii="Arial" w:hAnsi="Arial" w:cs="Arial"/>
          <w:b/>
          <w:bCs/>
        </w:rPr>
      </w:pPr>
    </w:p>
    <w:p w:rsidR="009524BD" w:rsidRDefault="009E6911">
      <w:pPr>
        <w:pStyle w:val="Commentaire"/>
        <w:jc w:val="both"/>
      </w:pPr>
      <w:r>
        <w:rPr>
          <w:rFonts w:ascii="Arial" w:eastAsia="Arial" w:hAnsi="Arial" w:cs="Arial"/>
          <w:sz w:val="24"/>
          <w:szCs w:val="24"/>
        </w:rPr>
        <w:t xml:space="preserve">La personne qualifiée intervient à titre gratuit. Cependant les frais de déplacements, de timbre et de téléphone des personnes qualifiées sont pris en charge par l’autorité de </w:t>
      </w:r>
      <w:r>
        <w:rPr>
          <w:rFonts w:ascii="Arial" w:eastAsia="Arial" w:hAnsi="Arial" w:cs="Arial"/>
          <w:sz w:val="24"/>
          <w:szCs w:val="24"/>
        </w:rPr>
        <w:t>tutelle concernée lorsqu’il s’agit d’une compétence unique ou répartis à part égale lorsqu’il s’agit d’une compétence conjointe.</w:t>
      </w:r>
    </w:p>
    <w:p w:rsidR="009524BD" w:rsidRDefault="009E6911">
      <w:pPr>
        <w:pStyle w:val="Standard"/>
      </w:pPr>
      <w:r>
        <w:rPr>
          <w:rFonts w:ascii="Arial" w:hAnsi="Arial" w:cs="Arial"/>
        </w:rPr>
        <w:t xml:space="preserve"> Elle doit être disponible et facilement joignable.</w:t>
      </w:r>
    </w:p>
    <w:p w:rsidR="009524BD" w:rsidRDefault="009524BD">
      <w:pPr>
        <w:pStyle w:val="Standard"/>
        <w:rPr>
          <w:rFonts w:ascii="Arial" w:hAnsi="Arial" w:cs="Arial"/>
          <w:sz w:val="16"/>
          <w:u w:val="single"/>
        </w:rPr>
      </w:pPr>
    </w:p>
    <w:p w:rsidR="009524BD" w:rsidRDefault="009E6911">
      <w:pPr>
        <w:pStyle w:val="Textbody"/>
      </w:pPr>
      <w:r>
        <w:t xml:space="preserve">La </w:t>
      </w:r>
      <w:bookmarkStart w:id="2" w:name="OLE_LINK1"/>
      <w:r>
        <w:t xml:space="preserve">personne qualifiée </w:t>
      </w:r>
      <w:bookmarkEnd w:id="2"/>
      <w:r>
        <w:t xml:space="preserve">intervient sur demande de l’usager, du résident ou </w:t>
      </w:r>
      <w:r>
        <w:t>de son représentant légal.</w:t>
      </w:r>
    </w:p>
    <w:p w:rsidR="009524BD" w:rsidRDefault="009524BD">
      <w:pPr>
        <w:pStyle w:val="Textbody"/>
      </w:pPr>
    </w:p>
    <w:p w:rsidR="009524BD" w:rsidRDefault="009E6911">
      <w:pPr>
        <w:pStyle w:val="Textbody"/>
      </w:pPr>
      <w:r>
        <w:t>La personne accompagnée ou son représentant légal ne peut faire appel à la personne qualifiée qu’après avoir épuisé les voies de médiation et de recours internes à la structure.</w:t>
      </w:r>
    </w:p>
    <w:p w:rsidR="009524BD" w:rsidRDefault="009524BD">
      <w:pPr>
        <w:pStyle w:val="Textbody"/>
      </w:pPr>
    </w:p>
    <w:p w:rsidR="009524BD" w:rsidRDefault="009E6911">
      <w:pPr>
        <w:pStyle w:val="Textbody"/>
      </w:pPr>
      <w:r>
        <w:t xml:space="preserve">A partir du moment où elle est saisie, la </w:t>
      </w:r>
      <w:bookmarkStart w:id="3" w:name="OLE_LINK2"/>
      <w:r>
        <w:t>personn</w:t>
      </w:r>
      <w:r>
        <w:t xml:space="preserve">e qualifiée </w:t>
      </w:r>
      <w:bookmarkEnd w:id="3"/>
      <w:r>
        <w:t>a pour mission d’aider le demandeur à faire valoir ses droits qui lui sont notamment reconnus aux articles L.311-3 à L.311-9 du CASF, à savoir :</w:t>
      </w:r>
    </w:p>
    <w:p w:rsidR="009524BD" w:rsidRDefault="009524BD">
      <w:pPr>
        <w:pStyle w:val="Standard"/>
        <w:rPr>
          <w:rFonts w:ascii="Arial" w:hAnsi="Arial" w:cs="Arial"/>
          <w:sz w:val="16"/>
        </w:rPr>
      </w:pPr>
    </w:p>
    <w:p w:rsidR="009524BD" w:rsidRDefault="009524BD">
      <w:pPr>
        <w:pStyle w:val="Textbody"/>
        <w:rPr>
          <w:sz w:val="16"/>
        </w:rPr>
      </w:pPr>
    </w:p>
    <w:p w:rsidR="009524BD" w:rsidRDefault="009E6911">
      <w:pPr>
        <w:pStyle w:val="Textbody"/>
        <w:numPr>
          <w:ilvl w:val="0"/>
          <w:numId w:val="33"/>
        </w:numPr>
      </w:pPr>
      <w:r>
        <w:lastRenderedPageBreak/>
        <w:t xml:space="preserve">Le </w:t>
      </w:r>
      <w:r>
        <w:rPr>
          <w:b/>
          <w:bCs/>
        </w:rPr>
        <w:t xml:space="preserve">respect </w:t>
      </w:r>
      <w:r>
        <w:t>de sa dignité, de son intégrité, de sa vie privée, de son intimité et de sa sécurité ;</w:t>
      </w:r>
    </w:p>
    <w:p w:rsidR="009524BD" w:rsidRDefault="009524BD">
      <w:pPr>
        <w:pStyle w:val="Corpsdetexte2"/>
      </w:pPr>
    </w:p>
    <w:p w:rsidR="009524BD" w:rsidRDefault="009E6911">
      <w:pPr>
        <w:pStyle w:val="Textbody"/>
        <w:numPr>
          <w:ilvl w:val="0"/>
          <w:numId w:val="20"/>
        </w:numPr>
      </w:pPr>
      <w:r>
        <w:t xml:space="preserve">Le </w:t>
      </w:r>
      <w:r>
        <w:rPr>
          <w:b/>
          <w:bCs/>
        </w:rPr>
        <w:t>libre choix entre les prestations</w:t>
      </w:r>
      <w:r>
        <w:t xml:space="preserve"> (domicile/établissement), sous réserve des pouvoirs reconnus à l'autorité judiciaire et des nécessités liées à la protection des mineurs en danger et des majeurs protégés ;</w:t>
      </w:r>
    </w:p>
    <w:p w:rsidR="009524BD" w:rsidRDefault="009524BD">
      <w:pPr>
        <w:pStyle w:val="Textbody"/>
        <w:rPr>
          <w:sz w:val="16"/>
        </w:rPr>
      </w:pPr>
    </w:p>
    <w:p w:rsidR="009524BD" w:rsidRDefault="009E6911">
      <w:pPr>
        <w:pStyle w:val="Textbody"/>
        <w:numPr>
          <w:ilvl w:val="0"/>
          <w:numId w:val="20"/>
        </w:numPr>
      </w:pPr>
      <w:r>
        <w:rPr>
          <w:b/>
          <w:bCs/>
        </w:rPr>
        <w:t>Une prise en charge</w:t>
      </w:r>
      <w:r>
        <w:t xml:space="preserve"> et un accompagnement in</w:t>
      </w:r>
      <w:r>
        <w:t xml:space="preserve">dividualisé </w:t>
      </w:r>
      <w:r>
        <w:rPr>
          <w:b/>
          <w:bCs/>
        </w:rPr>
        <w:t>de qualité,</w:t>
      </w:r>
      <w:r>
        <w:t xml:space="preserve"> respectant son </w:t>
      </w:r>
      <w:r>
        <w:rPr>
          <w:b/>
          <w:bCs/>
        </w:rPr>
        <w:t>consentement éclairé</w:t>
      </w:r>
      <w:r>
        <w:t xml:space="preserve"> ;</w:t>
      </w:r>
    </w:p>
    <w:p w:rsidR="009524BD" w:rsidRDefault="009524BD">
      <w:pPr>
        <w:pStyle w:val="Textbody"/>
        <w:rPr>
          <w:sz w:val="16"/>
        </w:rPr>
      </w:pPr>
    </w:p>
    <w:p w:rsidR="009524BD" w:rsidRDefault="009E6911">
      <w:pPr>
        <w:pStyle w:val="Textbody"/>
        <w:numPr>
          <w:ilvl w:val="0"/>
          <w:numId w:val="20"/>
        </w:numPr>
      </w:pPr>
      <w:r>
        <w:t xml:space="preserve">La </w:t>
      </w:r>
      <w:r>
        <w:rPr>
          <w:b/>
          <w:bCs/>
        </w:rPr>
        <w:t>confidentialité</w:t>
      </w:r>
      <w:r>
        <w:t xml:space="preserve"> des informations concernant l’usager ;</w:t>
      </w:r>
    </w:p>
    <w:p w:rsidR="009524BD" w:rsidRDefault="009524BD">
      <w:pPr>
        <w:pStyle w:val="Textbody"/>
        <w:ind w:left="360"/>
        <w:rPr>
          <w:sz w:val="16"/>
        </w:rPr>
      </w:pPr>
    </w:p>
    <w:p w:rsidR="009524BD" w:rsidRDefault="009E6911">
      <w:pPr>
        <w:pStyle w:val="Textbody"/>
        <w:numPr>
          <w:ilvl w:val="0"/>
          <w:numId w:val="20"/>
        </w:numPr>
      </w:pPr>
      <w:r>
        <w:rPr>
          <w:b/>
          <w:bCs/>
        </w:rPr>
        <w:t>L’accès à toute information</w:t>
      </w:r>
      <w:r>
        <w:t xml:space="preserve"> ou document relatif à sa prise en charge, sauf dispositions législatives contraires ;</w:t>
      </w:r>
    </w:p>
    <w:p w:rsidR="009524BD" w:rsidRDefault="009524BD">
      <w:pPr>
        <w:pStyle w:val="Textbody"/>
        <w:rPr>
          <w:sz w:val="16"/>
        </w:rPr>
      </w:pPr>
    </w:p>
    <w:p w:rsidR="009524BD" w:rsidRDefault="009E6911">
      <w:pPr>
        <w:pStyle w:val="Textbody"/>
        <w:numPr>
          <w:ilvl w:val="0"/>
          <w:numId w:val="20"/>
        </w:numPr>
      </w:pPr>
      <w:r>
        <w:t xml:space="preserve">Une </w:t>
      </w:r>
      <w:r>
        <w:rPr>
          <w:b/>
          <w:bCs/>
        </w:rPr>
        <w:t>information sur</w:t>
      </w:r>
      <w:r>
        <w:rPr>
          <w:b/>
          <w:bCs/>
        </w:rPr>
        <w:t xml:space="preserve"> ses droits fondamentaux et les protections</w:t>
      </w:r>
      <w:r>
        <w:t xml:space="preserve"> particulières légales et contractuelles dont elle bénéficie, ainsi que sur les voies de recours à sa disposition ;</w:t>
      </w:r>
    </w:p>
    <w:p w:rsidR="009524BD" w:rsidRDefault="009524BD">
      <w:pPr>
        <w:pStyle w:val="Textbody"/>
        <w:rPr>
          <w:sz w:val="16"/>
        </w:rPr>
      </w:pPr>
    </w:p>
    <w:p w:rsidR="009524BD" w:rsidRDefault="009E6911">
      <w:pPr>
        <w:pStyle w:val="Textbody"/>
        <w:numPr>
          <w:ilvl w:val="0"/>
          <w:numId w:val="20"/>
        </w:numPr>
      </w:pPr>
      <w:r>
        <w:t xml:space="preserve">La </w:t>
      </w:r>
      <w:r>
        <w:rPr>
          <w:b/>
          <w:bCs/>
        </w:rPr>
        <w:t>participation directe</w:t>
      </w:r>
      <w:r>
        <w:t xml:space="preserve"> ou avec l'aide de son représentant légal à la conception et à la mise e</w:t>
      </w:r>
      <w:r>
        <w:t>n œuvre du projet d'accueil et d'accompagnement qui la concerne</w:t>
      </w:r>
    </w:p>
    <w:p w:rsidR="009524BD" w:rsidRDefault="009524BD">
      <w:pPr>
        <w:pStyle w:val="Paragraphedeliste"/>
      </w:pPr>
    </w:p>
    <w:p w:rsidR="009524BD" w:rsidRDefault="009E6911">
      <w:pPr>
        <w:pStyle w:val="Textbody"/>
        <w:numPr>
          <w:ilvl w:val="0"/>
          <w:numId w:val="20"/>
        </w:numPr>
      </w:pPr>
      <w:r>
        <w:t xml:space="preserve">Tenter de </w:t>
      </w:r>
      <w:r>
        <w:rPr>
          <w:b/>
        </w:rPr>
        <w:t>trouver des solutions</w:t>
      </w:r>
      <w:r>
        <w:t xml:space="preserve"> aux problèmes rencontrés avec l’établissement ou le service qui l’accompagne.</w:t>
      </w:r>
    </w:p>
    <w:p w:rsidR="009524BD" w:rsidRDefault="009524BD">
      <w:pPr>
        <w:pStyle w:val="Paragraphedeliste"/>
      </w:pPr>
    </w:p>
    <w:p w:rsidR="009524BD" w:rsidRDefault="009E6911">
      <w:pPr>
        <w:pStyle w:val="Textbody"/>
      </w:pPr>
      <w:r>
        <w:t>Des outils issus de la loi du 2 janvier 2002 rénovant l’action sociale et médico</w:t>
      </w:r>
      <w:r>
        <w:t>-sociale sont prévus pour assurer le respect de ces droits. Ils servent ainsi de support à l’action éventuelle de la personne qualifiée. Il s’agit :</w:t>
      </w:r>
    </w:p>
    <w:p w:rsidR="009524BD" w:rsidRDefault="009524BD">
      <w:pPr>
        <w:pStyle w:val="Textbody"/>
      </w:pPr>
    </w:p>
    <w:p w:rsidR="009524BD" w:rsidRDefault="009E6911">
      <w:pPr>
        <w:pStyle w:val="Textbody"/>
        <w:numPr>
          <w:ilvl w:val="0"/>
          <w:numId w:val="34"/>
        </w:numPr>
        <w:tabs>
          <w:tab w:val="left" w:pos="-4500"/>
        </w:tabs>
      </w:pPr>
      <w:r>
        <w:t>Du livret d’accueil de l’établissement ou du service (circulaire N° 138 DGAS du 24 mars 2004 relative à la</w:t>
      </w:r>
      <w:r>
        <w:t xml:space="preserve"> mise en place du livret d’accueil prévu par l’article L 311-4 du code de l’action sociale et des familles.)                               </w:t>
      </w:r>
    </w:p>
    <w:p w:rsidR="009524BD" w:rsidRDefault="009E6911">
      <w:pPr>
        <w:pStyle w:val="Textbody"/>
        <w:numPr>
          <w:ilvl w:val="0"/>
          <w:numId w:val="11"/>
        </w:numPr>
        <w:tabs>
          <w:tab w:val="left" w:pos="-4500"/>
        </w:tabs>
      </w:pPr>
      <w:r>
        <w:t>De la charte des droits et liberté de la personne accueillie (</w:t>
      </w:r>
      <w:r>
        <w:rPr>
          <w:color w:val="111111"/>
          <w:sz w:val="22"/>
          <w:szCs w:val="22"/>
          <w:shd w:val="clear" w:color="auto" w:fill="FFFFFF"/>
        </w:rPr>
        <w:t>Arrêté du 8 septembre 2003</w:t>
      </w:r>
      <w:r>
        <w:rPr>
          <w:rStyle w:val="lev"/>
          <w:color w:val="111111"/>
          <w:sz w:val="22"/>
          <w:szCs w:val="22"/>
          <w:shd w:val="clear" w:color="auto" w:fill="FFFFFF"/>
        </w:rPr>
        <w:t> </w:t>
      </w:r>
      <w:r>
        <w:rPr>
          <w:rStyle w:val="lev"/>
          <w:b w:val="0"/>
          <w:color w:val="111111"/>
          <w:sz w:val="22"/>
          <w:szCs w:val="22"/>
          <w:shd w:val="clear" w:color="auto" w:fill="FFFFFF"/>
        </w:rPr>
        <w:t xml:space="preserve">relatif à la charte des </w:t>
      </w:r>
      <w:r>
        <w:rPr>
          <w:rStyle w:val="lev"/>
          <w:b w:val="0"/>
          <w:color w:val="111111"/>
          <w:sz w:val="22"/>
          <w:szCs w:val="22"/>
          <w:shd w:val="clear" w:color="auto" w:fill="FFFFFF"/>
        </w:rPr>
        <w:t>droits et libertés de la personne accueillie</w:t>
      </w:r>
      <w:r>
        <w:t>)</w:t>
      </w:r>
    </w:p>
    <w:p w:rsidR="009524BD" w:rsidRDefault="009E6911">
      <w:pPr>
        <w:pStyle w:val="Textbody"/>
        <w:numPr>
          <w:ilvl w:val="0"/>
          <w:numId w:val="11"/>
        </w:numPr>
        <w:tabs>
          <w:tab w:val="left" w:pos="-4500"/>
        </w:tabs>
      </w:pPr>
      <w:r>
        <w:t xml:space="preserve">du contrat de séjour ou le document individuel de prise en charge </w:t>
      </w:r>
      <w:r>
        <w:br/>
      </w:r>
      <w:r>
        <w:t>(art.L311-4 du CASF)</w:t>
      </w:r>
    </w:p>
    <w:p w:rsidR="009524BD" w:rsidRDefault="009E6911">
      <w:pPr>
        <w:pStyle w:val="Textbody"/>
        <w:numPr>
          <w:ilvl w:val="0"/>
          <w:numId w:val="11"/>
        </w:numPr>
        <w:tabs>
          <w:tab w:val="left" w:pos="-4500"/>
        </w:tabs>
      </w:pPr>
      <w:r>
        <w:t xml:space="preserve">du règlement de fonctionnement de l’établissement ou du service </w:t>
      </w:r>
      <w:r>
        <w:br/>
      </w:r>
      <w:r>
        <w:t>(art. L311-7 et D.311-33 à D.311-37 du CASF)</w:t>
      </w:r>
    </w:p>
    <w:p w:rsidR="009524BD" w:rsidRDefault="009E6911">
      <w:pPr>
        <w:pStyle w:val="Textbody"/>
        <w:numPr>
          <w:ilvl w:val="0"/>
          <w:numId w:val="11"/>
        </w:numPr>
        <w:tabs>
          <w:tab w:val="left" w:pos="-4500"/>
        </w:tabs>
      </w:pPr>
      <w:r>
        <w:t>Du conseil d</w:t>
      </w:r>
      <w:r>
        <w:t>e vie sociale ou d’une autre forme de participation des usagers (art. D.311-3 à D.311-32-1 du CASF)</w:t>
      </w:r>
    </w:p>
    <w:p w:rsidR="009524BD" w:rsidRDefault="009E6911">
      <w:pPr>
        <w:pStyle w:val="Textbody"/>
        <w:numPr>
          <w:ilvl w:val="0"/>
          <w:numId w:val="11"/>
        </w:numPr>
        <w:tabs>
          <w:tab w:val="left" w:pos="-4500"/>
        </w:tabs>
      </w:pPr>
      <w:r>
        <w:t>Du projet de l’établissement ou du service (art. L 311-8 et D311-38 du CASF)</w:t>
      </w:r>
    </w:p>
    <w:p w:rsidR="009524BD" w:rsidRDefault="009524BD">
      <w:pPr>
        <w:pStyle w:val="Textbody"/>
        <w:rPr>
          <w:u w:val="single"/>
        </w:rPr>
      </w:pPr>
    </w:p>
    <w:p w:rsidR="009524BD" w:rsidRDefault="009524BD">
      <w:pPr>
        <w:pStyle w:val="Textbody"/>
        <w:rPr>
          <w:b/>
          <w:bCs/>
          <w:u w:val="single"/>
        </w:rPr>
      </w:pPr>
    </w:p>
    <w:p w:rsidR="009524BD" w:rsidRDefault="009E6911">
      <w:pPr>
        <w:pStyle w:val="Standard"/>
        <w:numPr>
          <w:ilvl w:val="0"/>
          <w:numId w:val="5"/>
        </w:numPr>
      </w:pPr>
      <w:r>
        <w:rPr>
          <w:rFonts w:ascii="Arial" w:hAnsi="Arial" w:cs="Arial"/>
          <w:b/>
          <w:bCs/>
        </w:rPr>
        <w:t>Le champ d’action</w:t>
      </w:r>
    </w:p>
    <w:p w:rsidR="009524BD" w:rsidRDefault="009524BD">
      <w:pPr>
        <w:pStyle w:val="Standard"/>
        <w:ind w:left="720"/>
        <w:rPr>
          <w:rFonts w:ascii="Arial" w:hAnsi="Arial" w:cs="Arial"/>
          <w:b/>
          <w:bCs/>
        </w:rPr>
      </w:pPr>
    </w:p>
    <w:p w:rsidR="009524BD" w:rsidRDefault="009E6911">
      <w:pPr>
        <w:pStyle w:val="Textbody"/>
      </w:pPr>
      <w:r>
        <w:t xml:space="preserve">La personne qualifiée intervient au sein de tous les ESMS </w:t>
      </w:r>
      <w:r>
        <w:t>définis à l’article L 312-1 du CASF notamment ceux concernant :</w:t>
      </w:r>
    </w:p>
    <w:p w:rsidR="009524BD" w:rsidRDefault="009524BD">
      <w:pPr>
        <w:pStyle w:val="Textbody"/>
        <w:ind w:left="720"/>
        <w:rPr>
          <w:b/>
          <w:bCs/>
        </w:rPr>
      </w:pPr>
    </w:p>
    <w:p w:rsidR="009524BD" w:rsidRDefault="009E6911">
      <w:pPr>
        <w:pStyle w:val="Textbody"/>
        <w:numPr>
          <w:ilvl w:val="0"/>
          <w:numId w:val="35"/>
        </w:numPr>
        <w:tabs>
          <w:tab w:val="left" w:pos="-4500"/>
        </w:tabs>
      </w:pPr>
      <w:proofErr w:type="gramStart"/>
      <w:r>
        <w:t>des</w:t>
      </w:r>
      <w:proofErr w:type="gramEnd"/>
      <w:r>
        <w:t xml:space="preserve"> personnes âgées,</w:t>
      </w:r>
    </w:p>
    <w:p w:rsidR="009524BD" w:rsidRDefault="009E6911">
      <w:pPr>
        <w:pStyle w:val="Textbody"/>
        <w:numPr>
          <w:ilvl w:val="0"/>
          <w:numId w:val="26"/>
        </w:numPr>
        <w:tabs>
          <w:tab w:val="left" w:pos="-4500"/>
        </w:tabs>
      </w:pPr>
      <w:proofErr w:type="gramStart"/>
      <w:r>
        <w:t>des</w:t>
      </w:r>
      <w:proofErr w:type="gramEnd"/>
      <w:r>
        <w:t xml:space="preserve"> personnes en situation de handicap (enfants et adultes) et personnes en difficultés spécifiques</w:t>
      </w:r>
    </w:p>
    <w:p w:rsidR="009524BD" w:rsidRDefault="009E6911">
      <w:pPr>
        <w:pStyle w:val="Textbody"/>
        <w:numPr>
          <w:ilvl w:val="0"/>
          <w:numId w:val="26"/>
        </w:numPr>
        <w:tabs>
          <w:tab w:val="left" w:pos="-4500"/>
        </w:tabs>
      </w:pPr>
      <w:proofErr w:type="gramStart"/>
      <w:r>
        <w:t>de</w:t>
      </w:r>
      <w:proofErr w:type="gramEnd"/>
      <w:r>
        <w:t xml:space="preserve"> l’enfance</w:t>
      </w:r>
    </w:p>
    <w:p w:rsidR="009524BD" w:rsidRDefault="009E6911">
      <w:pPr>
        <w:pStyle w:val="Textbody"/>
        <w:numPr>
          <w:ilvl w:val="0"/>
          <w:numId w:val="26"/>
        </w:numPr>
        <w:tabs>
          <w:tab w:val="left" w:pos="-1305"/>
        </w:tabs>
        <w:ind w:left="0" w:right="-285" w:firstLine="0"/>
      </w:pPr>
      <w:proofErr w:type="gramStart"/>
      <w:r>
        <w:t>des</w:t>
      </w:r>
      <w:proofErr w:type="gramEnd"/>
      <w:r>
        <w:t xml:space="preserve"> mineurs délinquants au titre de la Protection Judicia</w:t>
      </w:r>
      <w:r>
        <w:t>ire de la Jeunesse (PJJ)</w:t>
      </w:r>
    </w:p>
    <w:p w:rsidR="009524BD" w:rsidRDefault="009E6911">
      <w:pPr>
        <w:pStyle w:val="Textbody"/>
        <w:numPr>
          <w:ilvl w:val="0"/>
          <w:numId w:val="26"/>
        </w:numPr>
        <w:tabs>
          <w:tab w:val="left" w:pos="-4500"/>
        </w:tabs>
      </w:pPr>
      <w:proofErr w:type="gramStart"/>
      <w:r>
        <w:lastRenderedPageBreak/>
        <w:t>des</w:t>
      </w:r>
      <w:proofErr w:type="gramEnd"/>
      <w:r>
        <w:t xml:space="preserve"> demandeurs d’asile (CADA : Centre d’Accueil des Demandeurs d’Asile) ou des réfugiés (CPH : Centre Provisoire d’Hébergement)</w:t>
      </w:r>
    </w:p>
    <w:p w:rsidR="009524BD" w:rsidRDefault="009E6911">
      <w:pPr>
        <w:pStyle w:val="Textbody"/>
        <w:numPr>
          <w:ilvl w:val="0"/>
          <w:numId w:val="26"/>
        </w:numPr>
        <w:tabs>
          <w:tab w:val="left" w:pos="-4500"/>
        </w:tabs>
      </w:pPr>
      <w:proofErr w:type="gramStart"/>
      <w:r>
        <w:t>des</w:t>
      </w:r>
      <w:proofErr w:type="gramEnd"/>
      <w:r>
        <w:t xml:space="preserve"> personnes en difficultés d’insertion (CHRS : Centre d’Hébergement et de Réinsertion Sociale)</w:t>
      </w:r>
    </w:p>
    <w:p w:rsidR="009524BD" w:rsidRDefault="009524BD">
      <w:pPr>
        <w:pStyle w:val="Textbody"/>
        <w:tabs>
          <w:tab w:val="left" w:pos="825"/>
        </w:tabs>
      </w:pPr>
    </w:p>
    <w:p w:rsidR="009524BD" w:rsidRDefault="009E6911">
      <w:pPr>
        <w:pStyle w:val="Textbody"/>
        <w:tabs>
          <w:tab w:val="left" w:pos="825"/>
        </w:tabs>
        <w:jc w:val="left"/>
      </w:pPr>
      <w:proofErr w:type="spellStart"/>
      <w:r>
        <w:t>Cf</w:t>
      </w:r>
      <w:proofErr w:type="spellEnd"/>
      <w:r>
        <w:t xml:space="preserve"> an</w:t>
      </w:r>
      <w:r>
        <w:t>nexe 2 : tableau des différentes catégories d’établissements</w:t>
      </w:r>
    </w:p>
    <w:p w:rsidR="009524BD" w:rsidRDefault="009524BD">
      <w:pPr>
        <w:pStyle w:val="Textbody"/>
        <w:rPr>
          <w:b/>
          <w:bCs/>
        </w:rPr>
      </w:pPr>
    </w:p>
    <w:p w:rsidR="009524BD" w:rsidRDefault="009E6911">
      <w:pPr>
        <w:pStyle w:val="Textbody"/>
      </w:pPr>
      <w:r>
        <w:t xml:space="preserve">La personne qualifiée peut intervenir </w:t>
      </w:r>
      <w:r>
        <w:rPr>
          <w:b/>
          <w:bCs/>
        </w:rPr>
        <w:t>sur tout le territoire</w:t>
      </w:r>
      <w:r>
        <w:t>. Néanmoins, afin de limiter les déplacements, suivant le nombre de personnes qualifiées, la liste pourra être établie par secteur géo</w:t>
      </w:r>
      <w:r>
        <w:t>graphique.</w:t>
      </w:r>
    </w:p>
    <w:p w:rsidR="009524BD" w:rsidRDefault="009524BD">
      <w:pPr>
        <w:pStyle w:val="Textbody"/>
      </w:pPr>
    </w:p>
    <w:p w:rsidR="009524BD" w:rsidRDefault="009E6911">
      <w:pPr>
        <w:pStyle w:val="Standard"/>
        <w:numPr>
          <w:ilvl w:val="0"/>
          <w:numId w:val="5"/>
        </w:numPr>
        <w:rPr>
          <w:rFonts w:ascii="Arial" w:hAnsi="Arial" w:cs="Arial"/>
          <w:b/>
          <w:bCs/>
          <w:color w:val="000000"/>
        </w:rPr>
      </w:pPr>
      <w:r>
        <w:rPr>
          <w:rFonts w:ascii="Arial" w:hAnsi="Arial" w:cs="Arial"/>
          <w:b/>
          <w:bCs/>
          <w:color w:val="000000"/>
        </w:rPr>
        <w:t>Durée et Interruption du mandat</w:t>
      </w:r>
    </w:p>
    <w:p w:rsidR="009524BD" w:rsidRDefault="009524BD">
      <w:pPr>
        <w:pStyle w:val="Standard"/>
        <w:ind w:left="720"/>
        <w:rPr>
          <w:rFonts w:ascii="Arial" w:hAnsi="Arial" w:cs="Arial"/>
          <w:b/>
          <w:bCs/>
          <w:color w:val="000000"/>
        </w:rPr>
      </w:pPr>
    </w:p>
    <w:p w:rsidR="009524BD" w:rsidRDefault="009E6911">
      <w:pPr>
        <w:pStyle w:val="Textbody"/>
      </w:pPr>
      <w:r>
        <w:t xml:space="preserve">La personne qualifiée est nommée par un arrêté conjoint pour une durée de </w:t>
      </w:r>
      <w:r>
        <w:rPr>
          <w:b/>
          <w:bCs/>
        </w:rPr>
        <w:t>3 ans renouvelable une fois par tacite reconduction</w:t>
      </w:r>
      <w:r>
        <w:t>.</w:t>
      </w:r>
      <w:r>
        <w:rPr>
          <w:b/>
          <w:bCs/>
        </w:rPr>
        <w:t xml:space="preserve"> </w:t>
      </w:r>
      <w:r>
        <w:t>Il peut être mis fin au mandat de la personne qualifiée soit sur sa demande après un</w:t>
      </w:r>
      <w:r>
        <w:t xml:space="preserve"> </w:t>
      </w:r>
      <w:r>
        <w:rPr>
          <w:u w:val="single"/>
        </w:rPr>
        <w:t>préavis de deux mois</w:t>
      </w:r>
      <w:r>
        <w:t>, soit par décision du préfet, de l’ARS et du Président du Département avec un préavis d’un mois, notamment en cas de non-respect de l’obligation de discrétion ou de condition d’indépendance explicitée plus haut.</w:t>
      </w:r>
    </w:p>
    <w:p w:rsidR="009524BD" w:rsidRDefault="009524BD">
      <w:pPr>
        <w:pStyle w:val="Textbody"/>
        <w:ind w:left="794"/>
        <w:rPr>
          <w:b/>
          <w:bCs/>
        </w:rPr>
      </w:pPr>
    </w:p>
    <w:p w:rsidR="009524BD" w:rsidRDefault="009E6911">
      <w:pPr>
        <w:pStyle w:val="Textbody"/>
        <w:numPr>
          <w:ilvl w:val="0"/>
          <w:numId w:val="16"/>
        </w:numPr>
      </w:pPr>
      <w:r>
        <w:rPr>
          <w:b/>
          <w:iCs/>
          <w:color w:val="0000FF"/>
          <w:sz w:val="32"/>
          <w:szCs w:val="32"/>
          <w:u w:val="single"/>
        </w:rPr>
        <w:t xml:space="preserve"> Le cadre </w:t>
      </w:r>
      <w:r>
        <w:rPr>
          <w:b/>
          <w:iCs/>
          <w:color w:val="0000FF"/>
          <w:sz w:val="32"/>
          <w:szCs w:val="32"/>
          <w:u w:val="single"/>
        </w:rPr>
        <w:t>d’intervention</w:t>
      </w:r>
    </w:p>
    <w:p w:rsidR="009524BD" w:rsidRDefault="009524BD">
      <w:pPr>
        <w:pStyle w:val="Standard"/>
        <w:ind w:left="360"/>
        <w:rPr>
          <w:rFonts w:ascii="Arial" w:hAnsi="Arial" w:cs="Arial"/>
          <w:b/>
          <w:bCs/>
          <w:iCs/>
          <w:color w:val="0000FF"/>
          <w:sz w:val="32"/>
          <w:szCs w:val="32"/>
          <w:u w:val="single"/>
        </w:rPr>
      </w:pPr>
    </w:p>
    <w:p w:rsidR="009524BD" w:rsidRDefault="009E6911">
      <w:pPr>
        <w:pStyle w:val="Paragraphedeliste"/>
        <w:numPr>
          <w:ilvl w:val="0"/>
          <w:numId w:val="36"/>
        </w:numPr>
        <w:spacing w:after="200" w:line="276" w:lineRule="auto"/>
        <w:jc w:val="both"/>
        <w:rPr>
          <w:rFonts w:ascii="Arial" w:hAnsi="Arial" w:cs="Arial"/>
          <w:b/>
          <w:bCs/>
        </w:rPr>
      </w:pPr>
      <w:r>
        <w:rPr>
          <w:rFonts w:ascii="Arial" w:hAnsi="Arial" w:cs="Arial"/>
          <w:b/>
          <w:bCs/>
        </w:rPr>
        <w:t>Saisine directe de la personne qualifiée </w:t>
      </w:r>
    </w:p>
    <w:p w:rsidR="009524BD" w:rsidRDefault="009524BD">
      <w:pPr>
        <w:pStyle w:val="Paragraphedeliste"/>
        <w:jc w:val="both"/>
        <w:rPr>
          <w:rFonts w:ascii="Arial" w:hAnsi="Arial" w:cs="Arial"/>
          <w:b/>
          <w:bCs/>
        </w:rPr>
      </w:pPr>
    </w:p>
    <w:p w:rsidR="009524BD" w:rsidRDefault="009E6911">
      <w:pPr>
        <w:pStyle w:val="Paragraphedeliste"/>
        <w:spacing w:after="200" w:line="276" w:lineRule="auto"/>
        <w:ind w:left="0"/>
        <w:jc w:val="both"/>
      </w:pPr>
      <w:r>
        <w:rPr>
          <w:rFonts w:ascii="Arial" w:hAnsi="Arial" w:cs="Arial"/>
        </w:rPr>
        <w:t>Un usager ou son représentant légal peut saisir directement la personne qualifiée de son choix.</w:t>
      </w:r>
    </w:p>
    <w:p w:rsidR="009524BD" w:rsidRDefault="009E6911">
      <w:pPr>
        <w:pStyle w:val="Paragraphedeliste"/>
        <w:spacing w:after="200" w:line="276" w:lineRule="auto"/>
        <w:ind w:left="0"/>
        <w:jc w:val="both"/>
      </w:pPr>
      <w:r>
        <w:rPr>
          <w:rFonts w:ascii="Arial" w:hAnsi="Arial" w:cs="Arial"/>
        </w:rPr>
        <w:t>Cette saisine peut éventuellement être transmise par l’autorité de tarification et de contrôle à laqu</w:t>
      </w:r>
      <w:r>
        <w:rPr>
          <w:rFonts w:ascii="Arial" w:hAnsi="Arial" w:cs="Arial"/>
        </w:rPr>
        <w:t xml:space="preserve">elle appartient l’établissement ou le service concerné par la demande de l’usager ou son représentant légal.  La procédure est interne à chaque autorité compétente. </w:t>
      </w:r>
      <w:r>
        <w:rPr>
          <w:rFonts w:ascii="Arial" w:hAnsi="Arial" w:cs="Arial"/>
          <w:u w:val="single"/>
        </w:rPr>
        <w:t>L’usager ou son représentant légal reste cependant le seul initiateur à la demande de la sa</w:t>
      </w:r>
      <w:r>
        <w:rPr>
          <w:rFonts w:ascii="Arial" w:hAnsi="Arial" w:cs="Arial"/>
          <w:u w:val="single"/>
        </w:rPr>
        <w:t>isine.</w:t>
      </w:r>
    </w:p>
    <w:p w:rsidR="009524BD" w:rsidRDefault="009524BD">
      <w:pPr>
        <w:pStyle w:val="Standard"/>
        <w:jc w:val="both"/>
        <w:rPr>
          <w:rFonts w:ascii="Arial" w:hAnsi="Arial" w:cs="Arial"/>
        </w:rPr>
      </w:pPr>
    </w:p>
    <w:p w:rsidR="009524BD" w:rsidRDefault="009E6911">
      <w:pPr>
        <w:pStyle w:val="Paragraphedeliste"/>
        <w:numPr>
          <w:ilvl w:val="0"/>
          <w:numId w:val="25"/>
        </w:numPr>
        <w:spacing w:after="200" w:line="276" w:lineRule="auto"/>
        <w:jc w:val="both"/>
        <w:rPr>
          <w:rFonts w:ascii="Arial" w:hAnsi="Arial" w:cs="Arial"/>
          <w:b/>
          <w:bCs/>
        </w:rPr>
      </w:pPr>
      <w:r>
        <w:rPr>
          <w:rFonts w:ascii="Arial" w:hAnsi="Arial" w:cs="Arial"/>
          <w:b/>
          <w:bCs/>
        </w:rPr>
        <w:t>Rapport de mission</w:t>
      </w:r>
    </w:p>
    <w:p w:rsidR="009524BD" w:rsidRDefault="009E6911">
      <w:pPr>
        <w:pStyle w:val="Commentaire"/>
        <w:jc w:val="both"/>
        <w:rPr>
          <w:rFonts w:ascii="Arial" w:hAnsi="Arial" w:cs="Arial"/>
          <w:sz w:val="24"/>
          <w:szCs w:val="24"/>
        </w:rPr>
      </w:pPr>
      <w:r>
        <w:rPr>
          <w:rFonts w:ascii="Arial" w:hAnsi="Arial" w:cs="Arial"/>
          <w:sz w:val="24"/>
          <w:szCs w:val="24"/>
        </w:rPr>
        <w:t>A la fin de son intervention, la personne qualifiée rédige un rapport de mission qu’elle transmet à l’autorité de contrôle et de tarification de l’établissement ou du service concerné et à l’usager ou son représentant légal. Ce r</w:t>
      </w:r>
      <w:r>
        <w:rPr>
          <w:rFonts w:ascii="Arial" w:hAnsi="Arial" w:cs="Arial"/>
          <w:sz w:val="24"/>
          <w:szCs w:val="24"/>
        </w:rPr>
        <w:t>apport devra préciser les suites données à sa demande, les démarches éventuellement entreprises ainsi que le cas échéant des mesures qu’elle peut être amenée à suggérer</w:t>
      </w:r>
    </w:p>
    <w:p w:rsidR="009524BD" w:rsidRDefault="009524BD">
      <w:pPr>
        <w:pStyle w:val="Standard"/>
        <w:jc w:val="both"/>
        <w:rPr>
          <w:rFonts w:ascii="Arial" w:hAnsi="Arial" w:cs="Arial"/>
        </w:rPr>
      </w:pPr>
    </w:p>
    <w:p w:rsidR="009524BD" w:rsidRDefault="009524BD">
      <w:pPr>
        <w:pStyle w:val="Standard"/>
        <w:jc w:val="both"/>
        <w:rPr>
          <w:rFonts w:ascii="Arial" w:hAnsi="Arial" w:cs="Arial"/>
        </w:rPr>
      </w:pPr>
    </w:p>
    <w:p w:rsidR="009524BD" w:rsidRDefault="009E6911">
      <w:pPr>
        <w:pStyle w:val="Paragraphedeliste"/>
        <w:numPr>
          <w:ilvl w:val="0"/>
          <w:numId w:val="25"/>
        </w:numPr>
        <w:spacing w:after="200" w:line="276" w:lineRule="auto"/>
        <w:jc w:val="both"/>
        <w:rPr>
          <w:rFonts w:ascii="Arial" w:hAnsi="Arial" w:cs="Arial"/>
          <w:b/>
          <w:bCs/>
        </w:rPr>
      </w:pPr>
      <w:r>
        <w:rPr>
          <w:rFonts w:ascii="Arial" w:hAnsi="Arial" w:cs="Arial"/>
          <w:b/>
          <w:bCs/>
        </w:rPr>
        <w:t>Suivi et bilan annuel</w:t>
      </w:r>
    </w:p>
    <w:p w:rsidR="009524BD" w:rsidRDefault="009524BD">
      <w:pPr>
        <w:pStyle w:val="Standard"/>
        <w:rPr>
          <w:rFonts w:ascii="Arial" w:hAnsi="Arial" w:cs="Arial"/>
          <w:b/>
          <w:bCs/>
        </w:rPr>
      </w:pPr>
    </w:p>
    <w:p w:rsidR="009524BD" w:rsidRDefault="009E6911">
      <w:pPr>
        <w:pStyle w:val="Standard"/>
        <w:spacing w:after="200" w:line="276" w:lineRule="auto"/>
        <w:jc w:val="both"/>
        <w:rPr>
          <w:rFonts w:ascii="Arial" w:hAnsi="Arial" w:cs="Arial"/>
        </w:rPr>
      </w:pPr>
      <w:r>
        <w:rPr>
          <w:rFonts w:ascii="Arial" w:hAnsi="Arial" w:cs="Arial"/>
        </w:rPr>
        <w:t>Chaque année, en janvier de l’année n+1 un bilan sera effectué</w:t>
      </w:r>
      <w:r>
        <w:rPr>
          <w:rFonts w:ascii="Arial" w:hAnsi="Arial" w:cs="Arial"/>
        </w:rPr>
        <w:t xml:space="preserve"> par les trois autorités afin de permettre d’évaluer la mise en œuvre du dispositif (nombre de saisine), s’assurer que les conditions d’exercice des missions des personnes qualifiées sont réunies, et apporter éventuellement des mesures correctives.</w:t>
      </w:r>
    </w:p>
    <w:p w:rsidR="009524BD" w:rsidRDefault="009E6911">
      <w:pPr>
        <w:pStyle w:val="Paragraphedeliste"/>
        <w:numPr>
          <w:ilvl w:val="0"/>
          <w:numId w:val="25"/>
        </w:numPr>
        <w:spacing w:after="200" w:line="276" w:lineRule="auto"/>
        <w:jc w:val="both"/>
        <w:rPr>
          <w:rFonts w:ascii="Arial" w:hAnsi="Arial" w:cs="Arial"/>
          <w:b/>
          <w:bCs/>
        </w:rPr>
      </w:pPr>
      <w:r>
        <w:rPr>
          <w:rFonts w:ascii="Arial" w:hAnsi="Arial" w:cs="Arial"/>
          <w:b/>
          <w:bCs/>
        </w:rPr>
        <w:lastRenderedPageBreak/>
        <w:t>Rembour</w:t>
      </w:r>
      <w:r>
        <w:rPr>
          <w:rFonts w:ascii="Arial" w:hAnsi="Arial" w:cs="Arial"/>
          <w:b/>
          <w:bCs/>
        </w:rPr>
        <w:t>sement de frais </w:t>
      </w:r>
    </w:p>
    <w:p w:rsidR="009524BD" w:rsidRDefault="009524BD">
      <w:pPr>
        <w:pStyle w:val="Standard"/>
        <w:rPr>
          <w:rFonts w:ascii="Arial" w:hAnsi="Arial" w:cs="Arial"/>
          <w:b/>
          <w:bCs/>
        </w:rPr>
      </w:pPr>
    </w:p>
    <w:p w:rsidR="009524BD" w:rsidRDefault="009E6911">
      <w:pPr>
        <w:pStyle w:val="Textbody"/>
      </w:pPr>
      <w:r>
        <w:t>Le décret du 14 novembre 2003 prévoit que les frais de déplacement engagés par la Personne Qualifiée, peuvent être remboursés :</w:t>
      </w:r>
    </w:p>
    <w:p w:rsidR="009524BD" w:rsidRDefault="009524BD">
      <w:pPr>
        <w:pStyle w:val="Standard"/>
        <w:rPr>
          <w:rFonts w:ascii="Arial" w:hAnsi="Arial" w:cs="Arial"/>
        </w:rPr>
      </w:pPr>
    </w:p>
    <w:p w:rsidR="009524BD" w:rsidRDefault="009E6911">
      <w:pPr>
        <w:pStyle w:val="Textbody"/>
        <w:numPr>
          <w:ilvl w:val="0"/>
          <w:numId w:val="11"/>
        </w:numPr>
      </w:pPr>
      <w:proofErr w:type="gramStart"/>
      <w:r>
        <w:rPr>
          <w:b/>
          <w:bCs/>
          <w:i/>
          <w:iCs/>
        </w:rPr>
        <w:t>soit</w:t>
      </w:r>
      <w:proofErr w:type="gramEnd"/>
      <w:r>
        <w:rPr>
          <w:b/>
          <w:bCs/>
          <w:i/>
          <w:iCs/>
        </w:rPr>
        <w:t xml:space="preserve">, par la Présidente du Conseil Départemental </w:t>
      </w:r>
      <w:r>
        <w:t xml:space="preserve"> pour les personnes accueillies dans des établissements et s</w:t>
      </w:r>
      <w:r>
        <w:t xml:space="preserve">ervices autorisés par lui (CASF art. L.313-3 a), en application du </w:t>
      </w:r>
      <w:bookmarkStart w:id="4" w:name="OLE_LINK4"/>
      <w:r>
        <w:t xml:space="preserve">décret n°2001-654 modifié du </w:t>
      </w:r>
      <w:bookmarkEnd w:id="4"/>
      <w:r>
        <w:t>19 juillet 2011 ;</w:t>
      </w:r>
    </w:p>
    <w:p w:rsidR="009524BD" w:rsidRDefault="009524BD">
      <w:pPr>
        <w:pStyle w:val="Textbody"/>
        <w:ind w:left="705"/>
      </w:pPr>
    </w:p>
    <w:p w:rsidR="009524BD" w:rsidRDefault="009E6911">
      <w:pPr>
        <w:pStyle w:val="Textbody"/>
        <w:numPr>
          <w:ilvl w:val="0"/>
          <w:numId w:val="11"/>
        </w:numPr>
      </w:pPr>
      <w:proofErr w:type="gramStart"/>
      <w:r>
        <w:rPr>
          <w:b/>
          <w:bCs/>
          <w:i/>
          <w:iCs/>
        </w:rPr>
        <w:t>soit</w:t>
      </w:r>
      <w:proofErr w:type="gramEnd"/>
      <w:r>
        <w:rPr>
          <w:b/>
          <w:bCs/>
          <w:i/>
          <w:iCs/>
        </w:rPr>
        <w:t xml:space="preserve"> par le représentant de l’Etat</w:t>
      </w:r>
      <w:r>
        <w:t xml:space="preserve"> (CASF art. L.313-3 b), en application du décret n° 2006-781 modifié du 3 juillet 2006 ;</w:t>
      </w:r>
    </w:p>
    <w:p w:rsidR="009524BD" w:rsidRDefault="009524BD">
      <w:pPr>
        <w:pStyle w:val="Textbody"/>
        <w:ind w:left="705"/>
      </w:pPr>
    </w:p>
    <w:p w:rsidR="009524BD" w:rsidRDefault="009E6911">
      <w:pPr>
        <w:pStyle w:val="Textbody"/>
        <w:numPr>
          <w:ilvl w:val="0"/>
          <w:numId w:val="11"/>
        </w:numPr>
      </w:pPr>
      <w:proofErr w:type="gramStart"/>
      <w:r>
        <w:rPr>
          <w:b/>
          <w:bCs/>
          <w:i/>
          <w:iCs/>
        </w:rPr>
        <w:t>soit</w:t>
      </w:r>
      <w:proofErr w:type="gramEnd"/>
      <w:r>
        <w:rPr>
          <w:b/>
          <w:bCs/>
          <w:i/>
          <w:iCs/>
        </w:rPr>
        <w:t xml:space="preserve"> à parts égales</w:t>
      </w:r>
      <w:r>
        <w:t>, pour les personnes accueillies dans des établissements et services autorisés conjointement par ces mêmes autorités publiques (CASF art. L.313-3 d</w:t>
      </w:r>
      <w:r>
        <w:t>), en application de ces mêmes décrets.</w:t>
      </w:r>
    </w:p>
    <w:p w:rsidR="009524BD" w:rsidRDefault="009524BD">
      <w:pPr>
        <w:pStyle w:val="Standard"/>
        <w:rPr>
          <w:rFonts w:ascii="Arial" w:hAnsi="Arial" w:cs="Arial"/>
        </w:rPr>
      </w:pPr>
    </w:p>
    <w:p w:rsidR="009524BD" w:rsidRDefault="009E6911">
      <w:pPr>
        <w:pStyle w:val="Textbody"/>
      </w:pPr>
      <w:r>
        <w:t xml:space="preserve">Les frais de timbres et de téléphone peuvent aussi faire l'objet d'un remboursement sur la base de justificatifs. Le remboursement de ces frais est pris en charge selon les cas énoncés précédemment par l'Etat ou le </w:t>
      </w:r>
      <w:r>
        <w:t>Département.</w:t>
      </w:r>
    </w:p>
    <w:p w:rsidR="009524BD" w:rsidRDefault="009524BD">
      <w:pPr>
        <w:pStyle w:val="Standard"/>
        <w:rPr>
          <w:rFonts w:ascii="Arial" w:hAnsi="Arial" w:cs="Arial"/>
          <w:b/>
          <w:bCs/>
          <w:sz w:val="28"/>
          <w:u w:val="single"/>
        </w:rPr>
      </w:pPr>
    </w:p>
    <w:p w:rsidR="009524BD" w:rsidRDefault="009524BD">
      <w:pPr>
        <w:pStyle w:val="Standard"/>
        <w:tabs>
          <w:tab w:val="left" w:pos="2505"/>
        </w:tabs>
        <w:rPr>
          <w:rFonts w:ascii="Arial" w:hAnsi="Arial" w:cs="Arial"/>
          <w:b/>
          <w:bCs/>
          <w:sz w:val="28"/>
          <w:u w:val="single"/>
        </w:rPr>
      </w:pPr>
    </w:p>
    <w:p w:rsidR="009524BD" w:rsidRDefault="009E6911">
      <w:pPr>
        <w:pStyle w:val="Textbody"/>
        <w:numPr>
          <w:ilvl w:val="0"/>
          <w:numId w:val="16"/>
        </w:numPr>
      </w:pPr>
      <w:r>
        <w:rPr>
          <w:b/>
          <w:iCs/>
          <w:color w:val="0000FF"/>
          <w:sz w:val="32"/>
          <w:szCs w:val="32"/>
          <w:u w:val="single"/>
        </w:rPr>
        <w:t>Modalités de réponses à l’appel à candidature</w:t>
      </w:r>
    </w:p>
    <w:p w:rsidR="009524BD" w:rsidRDefault="009524BD">
      <w:pPr>
        <w:pStyle w:val="Standard"/>
        <w:tabs>
          <w:tab w:val="left" w:pos="2505"/>
        </w:tabs>
        <w:rPr>
          <w:rFonts w:ascii="Arial" w:hAnsi="Arial" w:cs="Arial"/>
          <w:b/>
          <w:iCs/>
          <w:color w:val="0000FF"/>
          <w:sz w:val="32"/>
          <w:szCs w:val="32"/>
          <w:u w:val="single"/>
        </w:rPr>
      </w:pPr>
    </w:p>
    <w:p w:rsidR="009524BD" w:rsidRDefault="009524BD">
      <w:pPr>
        <w:pStyle w:val="Standard"/>
        <w:tabs>
          <w:tab w:val="left" w:pos="2505"/>
        </w:tabs>
        <w:rPr>
          <w:rFonts w:ascii="Arial" w:hAnsi="Arial" w:cs="Arial"/>
          <w:b/>
        </w:rPr>
      </w:pPr>
    </w:p>
    <w:p w:rsidR="009524BD" w:rsidRDefault="009524BD">
      <w:pPr>
        <w:pStyle w:val="Standard"/>
        <w:tabs>
          <w:tab w:val="left" w:pos="2505"/>
        </w:tabs>
        <w:rPr>
          <w:rFonts w:ascii="Arial" w:hAnsi="Arial" w:cs="Arial"/>
          <w:b/>
        </w:rPr>
      </w:pPr>
    </w:p>
    <w:p w:rsidR="009524BD" w:rsidRDefault="009E6911">
      <w:pPr>
        <w:pStyle w:val="Standard"/>
        <w:tabs>
          <w:tab w:val="left" w:pos="2505"/>
        </w:tabs>
      </w:pPr>
      <w:r>
        <w:rPr>
          <w:rFonts w:ascii="Arial" w:hAnsi="Arial" w:cs="Arial"/>
          <w:bCs/>
        </w:rPr>
        <w:t xml:space="preserve">Chaque candidat devra adresser par voie dématérialisée, à l’adresse suivante :      </w:t>
      </w:r>
      <w:hyperlink r:id="rId10" w:history="1">
        <w:r>
          <w:rPr>
            <w:rStyle w:val="Internetlink"/>
            <w:rFonts w:ascii="Arial" w:hAnsi="Arial" w:cs="Arial"/>
            <w:bCs/>
          </w:rPr>
          <w:t>ars-paca-dt13-personnes-qualifiees@a</w:t>
        </w:r>
        <w:r>
          <w:rPr>
            <w:rStyle w:val="Internetlink"/>
            <w:rFonts w:ascii="Arial" w:hAnsi="Arial" w:cs="Arial"/>
            <w:bCs/>
          </w:rPr>
          <w:t>rs.sante.fr</w:t>
        </w:r>
      </w:hyperlink>
    </w:p>
    <w:p w:rsidR="009524BD" w:rsidRDefault="009524BD">
      <w:pPr>
        <w:pStyle w:val="Textbody"/>
        <w:ind w:left="1065"/>
        <w:rPr>
          <w:b/>
          <w:bCs/>
          <w:i/>
          <w:iCs/>
        </w:rPr>
      </w:pPr>
    </w:p>
    <w:p w:rsidR="009524BD" w:rsidRDefault="009E6911">
      <w:pPr>
        <w:pStyle w:val="Textbody"/>
        <w:numPr>
          <w:ilvl w:val="0"/>
          <w:numId w:val="11"/>
        </w:numPr>
      </w:pPr>
      <w:r>
        <w:rPr>
          <w:b/>
          <w:bCs/>
          <w:i/>
          <w:iCs/>
        </w:rPr>
        <w:t>Un CV détaillant le parcours professionnel et les formations</w:t>
      </w:r>
    </w:p>
    <w:p w:rsidR="009524BD" w:rsidRDefault="009E6911">
      <w:pPr>
        <w:pStyle w:val="Textbody"/>
        <w:numPr>
          <w:ilvl w:val="0"/>
          <w:numId w:val="11"/>
        </w:numPr>
      </w:pPr>
      <w:r>
        <w:rPr>
          <w:b/>
          <w:bCs/>
          <w:i/>
          <w:iCs/>
        </w:rPr>
        <w:t>Une lettre de motivation précisant, le cas échéant, le ou les champs</w:t>
      </w:r>
      <w:r>
        <w:rPr>
          <w:b/>
          <w:bCs/>
          <w:i/>
          <w:iCs/>
          <w:shd w:val="clear" w:color="auto" w:fill="FFFF00"/>
        </w:rPr>
        <w:t xml:space="preserve"> </w:t>
      </w:r>
      <w:r>
        <w:rPr>
          <w:b/>
          <w:bCs/>
          <w:i/>
          <w:iCs/>
        </w:rPr>
        <w:t>d’actions souhaités</w:t>
      </w:r>
    </w:p>
    <w:p w:rsidR="009524BD" w:rsidRDefault="009E6911">
      <w:pPr>
        <w:pStyle w:val="Textbody"/>
        <w:numPr>
          <w:ilvl w:val="0"/>
          <w:numId w:val="11"/>
        </w:numPr>
      </w:pPr>
      <w:r>
        <w:rPr>
          <w:b/>
          <w:bCs/>
          <w:i/>
          <w:iCs/>
        </w:rPr>
        <w:t>Une copie du casier judiciaire</w:t>
      </w:r>
    </w:p>
    <w:p w:rsidR="009524BD" w:rsidRDefault="009E6911">
      <w:pPr>
        <w:pStyle w:val="Textbody"/>
        <w:numPr>
          <w:ilvl w:val="0"/>
          <w:numId w:val="11"/>
        </w:numPr>
        <w:rPr>
          <w:b/>
          <w:bCs/>
          <w:i/>
          <w:iCs/>
        </w:rPr>
      </w:pPr>
      <w:r>
        <w:rPr>
          <w:b/>
          <w:bCs/>
          <w:i/>
          <w:iCs/>
        </w:rPr>
        <w:t>Une copie de carte d’identité</w:t>
      </w:r>
    </w:p>
    <w:p w:rsidR="009524BD" w:rsidRDefault="009E6911">
      <w:pPr>
        <w:pStyle w:val="Textbody"/>
        <w:numPr>
          <w:ilvl w:val="0"/>
          <w:numId w:val="11"/>
        </w:numPr>
        <w:rPr>
          <w:b/>
          <w:bCs/>
          <w:i/>
          <w:iCs/>
        </w:rPr>
      </w:pPr>
      <w:r>
        <w:rPr>
          <w:b/>
          <w:bCs/>
          <w:i/>
          <w:iCs/>
        </w:rPr>
        <w:t>Un RIB</w:t>
      </w:r>
    </w:p>
    <w:p w:rsidR="009524BD" w:rsidRDefault="009524BD">
      <w:pPr>
        <w:pStyle w:val="Standard"/>
        <w:tabs>
          <w:tab w:val="left" w:pos="2505"/>
        </w:tabs>
        <w:rPr>
          <w:rFonts w:ascii="Arial" w:hAnsi="Arial" w:cs="Arial"/>
          <w:b/>
          <w:bCs/>
          <w:i/>
          <w:iCs/>
        </w:rPr>
      </w:pPr>
    </w:p>
    <w:p w:rsidR="009524BD" w:rsidRDefault="009E6911">
      <w:pPr>
        <w:pStyle w:val="Standard"/>
        <w:tabs>
          <w:tab w:val="left" w:pos="2505"/>
        </w:tabs>
      </w:pPr>
      <w:r>
        <w:rPr>
          <w:rFonts w:ascii="Arial" w:hAnsi="Arial" w:cs="Arial"/>
          <w:bCs/>
        </w:rPr>
        <w:t>La date limite d’envoi d</w:t>
      </w:r>
      <w:r>
        <w:rPr>
          <w:rFonts w:ascii="Arial" w:hAnsi="Arial" w:cs="Arial"/>
          <w:bCs/>
        </w:rPr>
        <w:t>es candidatures est fixée</w:t>
      </w:r>
      <w:r>
        <w:rPr>
          <w:rFonts w:ascii="Arial" w:hAnsi="Arial" w:cs="Arial"/>
          <w:b/>
          <w:bCs/>
        </w:rPr>
        <w:t xml:space="preserve"> au 30 août 2023.</w:t>
      </w:r>
    </w:p>
    <w:p w:rsidR="009524BD" w:rsidRDefault="009524BD">
      <w:pPr>
        <w:pStyle w:val="Standard"/>
        <w:tabs>
          <w:tab w:val="left" w:pos="2505"/>
        </w:tabs>
        <w:rPr>
          <w:rFonts w:ascii="Arial" w:hAnsi="Arial" w:cs="Arial"/>
          <w:bCs/>
        </w:rPr>
      </w:pPr>
    </w:p>
    <w:p w:rsidR="009524BD" w:rsidRDefault="009524BD">
      <w:pPr>
        <w:pStyle w:val="Standard"/>
        <w:tabs>
          <w:tab w:val="left" w:pos="2505"/>
        </w:tabs>
        <w:rPr>
          <w:rFonts w:ascii="Arial" w:hAnsi="Arial" w:cs="Arial"/>
          <w:b/>
          <w:bCs/>
        </w:rPr>
      </w:pPr>
    </w:p>
    <w:p w:rsidR="009524BD" w:rsidRDefault="009524BD">
      <w:pPr>
        <w:pStyle w:val="Standard"/>
        <w:tabs>
          <w:tab w:val="left" w:pos="2505"/>
        </w:tabs>
        <w:rPr>
          <w:rFonts w:ascii="Arial" w:hAnsi="Arial" w:cs="Arial"/>
          <w:b/>
        </w:rPr>
      </w:pPr>
    </w:p>
    <w:p w:rsidR="009524BD" w:rsidRDefault="009524BD">
      <w:pPr>
        <w:pStyle w:val="Standard"/>
        <w:tabs>
          <w:tab w:val="left" w:pos="2505"/>
        </w:tabs>
        <w:rPr>
          <w:rFonts w:ascii="Arial" w:hAnsi="Arial" w:cs="Arial"/>
          <w:b/>
        </w:rPr>
      </w:pPr>
    </w:p>
    <w:p w:rsidR="009524BD" w:rsidRDefault="009524BD">
      <w:pPr>
        <w:pStyle w:val="Standard"/>
        <w:tabs>
          <w:tab w:val="left" w:pos="2505"/>
        </w:tabs>
        <w:rPr>
          <w:rFonts w:ascii="Arial" w:hAnsi="Arial" w:cs="Arial"/>
          <w:b/>
        </w:rPr>
      </w:pPr>
    </w:p>
    <w:p w:rsidR="009524BD" w:rsidRDefault="009524BD">
      <w:pPr>
        <w:pStyle w:val="Standard"/>
        <w:tabs>
          <w:tab w:val="left" w:pos="2505"/>
        </w:tabs>
        <w:rPr>
          <w:rFonts w:ascii="Arial" w:hAnsi="Arial" w:cs="Arial"/>
          <w:b/>
        </w:rPr>
      </w:pPr>
    </w:p>
    <w:p w:rsidR="009524BD" w:rsidRDefault="009524BD">
      <w:pPr>
        <w:pStyle w:val="Standard"/>
        <w:tabs>
          <w:tab w:val="left" w:pos="2505"/>
        </w:tabs>
        <w:rPr>
          <w:rFonts w:ascii="Arial" w:hAnsi="Arial" w:cs="Arial"/>
          <w:b/>
        </w:rPr>
      </w:pPr>
    </w:p>
    <w:p w:rsidR="009524BD" w:rsidRDefault="009524BD">
      <w:pPr>
        <w:pStyle w:val="Standard"/>
        <w:spacing w:after="200" w:line="276" w:lineRule="auto"/>
        <w:jc w:val="both"/>
        <w:rPr>
          <w:rFonts w:ascii="Arial" w:hAnsi="Arial" w:cs="Arial"/>
          <w:b/>
        </w:rPr>
      </w:pPr>
    </w:p>
    <w:p w:rsidR="009524BD" w:rsidRDefault="009524BD">
      <w:pPr>
        <w:pStyle w:val="Standard"/>
        <w:spacing w:after="200" w:line="276" w:lineRule="auto"/>
        <w:jc w:val="both"/>
        <w:rPr>
          <w:rFonts w:ascii="Arial" w:hAnsi="Arial" w:cs="Arial"/>
          <w:b/>
        </w:rPr>
      </w:pPr>
    </w:p>
    <w:p w:rsidR="009524BD" w:rsidRDefault="009524BD">
      <w:pPr>
        <w:pStyle w:val="Standard"/>
        <w:spacing w:after="200" w:line="276" w:lineRule="auto"/>
        <w:jc w:val="both"/>
        <w:rPr>
          <w:rFonts w:ascii="Arial" w:hAnsi="Arial" w:cs="Arial"/>
          <w:b/>
        </w:rPr>
      </w:pPr>
    </w:p>
    <w:p w:rsidR="009524BD" w:rsidRDefault="009524BD">
      <w:pPr>
        <w:pStyle w:val="Standard"/>
        <w:spacing w:after="200" w:line="276" w:lineRule="auto"/>
        <w:jc w:val="both"/>
        <w:rPr>
          <w:rFonts w:ascii="Arial" w:hAnsi="Arial" w:cs="Arial"/>
          <w:b/>
        </w:rPr>
      </w:pPr>
    </w:p>
    <w:p w:rsidR="009524BD" w:rsidRDefault="009E6911">
      <w:pPr>
        <w:pStyle w:val="Standard"/>
        <w:spacing w:after="200" w:line="276" w:lineRule="auto"/>
        <w:jc w:val="both"/>
      </w:pPr>
      <w:r>
        <w:rPr>
          <w:rFonts w:ascii="Calibri" w:eastAsia="Calibri" w:hAnsi="Calibri" w:cs="Calibri"/>
          <w:b/>
          <w:sz w:val="36"/>
          <w:szCs w:val="36"/>
          <w:lang w:eastAsia="en-US"/>
        </w:rPr>
        <w:lastRenderedPageBreak/>
        <w:t>Annexe 1 – Charte éthique de la personne qualifiée</w:t>
      </w:r>
    </w:p>
    <w:p w:rsidR="009524BD" w:rsidRDefault="009E6911">
      <w:pPr>
        <w:pStyle w:val="Standard"/>
        <w:spacing w:after="200"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 xml:space="preserve">Dans le cadre de son mandat, la personne qualifiée est amenée à traiter des informations et des situations personnelles. Son rôle est d’informer les </w:t>
      </w:r>
      <w:r>
        <w:rPr>
          <w:rFonts w:ascii="Calibri" w:eastAsia="Calibri" w:hAnsi="Calibri" w:cs="Calibri"/>
          <w:sz w:val="20"/>
          <w:szCs w:val="20"/>
          <w:lang w:eastAsia="en-US"/>
        </w:rPr>
        <w:t>personnes qui font appel à elle, sur leurs droits et les modalités permettant de les faire respecter.</w:t>
      </w:r>
    </w:p>
    <w:p w:rsidR="009524BD" w:rsidRDefault="009E6911">
      <w:pPr>
        <w:pStyle w:val="Standard"/>
        <w:spacing w:after="200" w:line="276" w:lineRule="auto"/>
        <w:jc w:val="both"/>
      </w:pPr>
      <w:r>
        <w:rPr>
          <w:rFonts w:ascii="Calibri" w:eastAsia="Calibri" w:hAnsi="Calibri" w:cs="Calibri"/>
          <w:sz w:val="20"/>
          <w:szCs w:val="20"/>
          <w:lang w:eastAsia="en-US"/>
        </w:rPr>
        <w:t>La personne qualifiée exerce son mandat bénévolement, elle assure un dialogue constructif permettant le respect des personnes et des institutions. Du fait</w:t>
      </w:r>
      <w:r>
        <w:rPr>
          <w:rFonts w:ascii="Calibri" w:eastAsia="Calibri" w:hAnsi="Calibri" w:cs="Calibri"/>
          <w:sz w:val="20"/>
          <w:szCs w:val="20"/>
          <w:lang w:eastAsia="en-US"/>
        </w:rPr>
        <w:t xml:space="preserve"> de sa connaissance des secteurs social et médico-social, la personne qualifiée apporte un regard extérieur sur une situation donnée pour une personne ou son représentant légal</w:t>
      </w:r>
      <w:r>
        <w:rPr>
          <w:rStyle w:val="Appelnotedebasdep"/>
          <w:rFonts w:ascii="Calibri" w:eastAsia="Calibri" w:hAnsi="Calibri" w:cs="Calibri"/>
          <w:sz w:val="20"/>
          <w:szCs w:val="20"/>
          <w:lang w:eastAsia="en-US"/>
        </w:rPr>
        <w:footnoteReference w:id="1"/>
      </w:r>
      <w:r>
        <w:rPr>
          <w:rFonts w:ascii="Calibri" w:eastAsia="Calibri" w:hAnsi="Calibri" w:cs="Calibri"/>
          <w:sz w:val="20"/>
          <w:szCs w:val="20"/>
          <w:lang w:eastAsia="en-US"/>
        </w:rPr>
        <w:t>.</w:t>
      </w:r>
    </w:p>
    <w:p w:rsidR="009524BD" w:rsidRDefault="009E6911">
      <w:pPr>
        <w:pStyle w:val="Standard"/>
        <w:spacing w:after="200" w:line="27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INDEPENDANCE</w:t>
      </w:r>
    </w:p>
    <w:p w:rsidR="009524BD" w:rsidRDefault="009E6911">
      <w:pPr>
        <w:pStyle w:val="Standard"/>
        <w:spacing w:after="200" w:line="276" w:lineRule="auto"/>
        <w:jc w:val="both"/>
      </w:pPr>
      <w:r>
        <w:rPr>
          <w:rFonts w:ascii="Calibri" w:eastAsia="Calibri" w:hAnsi="Calibri" w:cs="Calibri"/>
          <w:sz w:val="20"/>
          <w:szCs w:val="20"/>
          <w:lang w:eastAsia="en-US"/>
        </w:rPr>
        <w:t>La personne qualifiée conduit sa mission en toute indépendance</w:t>
      </w:r>
      <w:r>
        <w:rPr>
          <w:rFonts w:ascii="Calibri" w:eastAsia="Calibri" w:hAnsi="Calibri" w:cs="Calibri"/>
          <w:sz w:val="20"/>
          <w:szCs w:val="20"/>
          <w:lang w:eastAsia="en-US"/>
        </w:rPr>
        <w:t>. Bien qu’elle doive rendre compte aux personnes faisant appel à elle et aux autorités l’ayant désignée, elle est seule responsable des constats et des recommandations formulées.</w:t>
      </w:r>
    </w:p>
    <w:p w:rsidR="009524BD" w:rsidRDefault="009E6911">
      <w:pPr>
        <w:pStyle w:val="Standard"/>
        <w:spacing w:after="200" w:line="27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CONFIDENTIALITE</w:t>
      </w:r>
    </w:p>
    <w:p w:rsidR="009524BD" w:rsidRDefault="009E6911">
      <w:pPr>
        <w:pStyle w:val="Standard"/>
        <w:spacing w:after="200"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 xml:space="preserve">La personne qualifiée s’engage à garder confidentiel dans un </w:t>
      </w:r>
      <w:r>
        <w:rPr>
          <w:rFonts w:ascii="Calibri" w:eastAsia="Calibri" w:hAnsi="Calibri" w:cs="Calibri"/>
          <w:sz w:val="20"/>
          <w:szCs w:val="20"/>
          <w:lang w:eastAsia="en-US"/>
        </w:rPr>
        <w:t>cadre restreint les données et informations personnelles dont elle a connaissance dans le cadre de sa mission.</w:t>
      </w:r>
    </w:p>
    <w:p w:rsidR="009524BD" w:rsidRDefault="009E6911">
      <w:pPr>
        <w:pStyle w:val="Standard"/>
        <w:spacing w:after="200" w:line="27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INTEGRITE</w:t>
      </w:r>
    </w:p>
    <w:p w:rsidR="009524BD" w:rsidRDefault="009E6911">
      <w:pPr>
        <w:pStyle w:val="Standard"/>
        <w:spacing w:after="200"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La personne qualifiée agit en toute impartialité et transparence vis-à-vis de la situation pour laquelle elle intervient.</w:t>
      </w:r>
    </w:p>
    <w:p w:rsidR="009524BD" w:rsidRDefault="009E6911">
      <w:pPr>
        <w:pStyle w:val="Standard"/>
        <w:spacing w:after="200" w:line="27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ABSENCE DE CO</w:t>
      </w:r>
      <w:r>
        <w:rPr>
          <w:rFonts w:ascii="Calibri" w:eastAsia="Calibri" w:hAnsi="Calibri" w:cs="Calibri"/>
          <w:b/>
          <w:sz w:val="20"/>
          <w:szCs w:val="20"/>
          <w:lang w:eastAsia="en-US"/>
        </w:rPr>
        <w:t>NFLIT D’INTERET</w:t>
      </w:r>
    </w:p>
    <w:p w:rsidR="009524BD" w:rsidRDefault="009E6911">
      <w:pPr>
        <w:pStyle w:val="Standard"/>
        <w:spacing w:after="200"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La personne qualifiée doit garantir l’absence de conflit d’intérêt dans la conduite de son action. Pour cela, elle ne doit pas intervenir dans une situation pour laquelle elle a un lien avéré avec la structure sociale ou médico-sociale, son</w:t>
      </w:r>
      <w:r>
        <w:rPr>
          <w:rFonts w:ascii="Calibri" w:eastAsia="Calibri" w:hAnsi="Calibri" w:cs="Calibri"/>
          <w:sz w:val="20"/>
          <w:szCs w:val="20"/>
          <w:lang w:eastAsia="en-US"/>
        </w:rPr>
        <w:t xml:space="preserve"> gestionnaire, le personnel de l’établissement ou service dans laquelle elle est mobilisée.</w:t>
      </w:r>
    </w:p>
    <w:p w:rsidR="009524BD" w:rsidRDefault="009E6911">
      <w:pPr>
        <w:pStyle w:val="Standard"/>
        <w:spacing w:after="200" w:line="276" w:lineRule="auto"/>
        <w:jc w:val="both"/>
      </w:pPr>
      <w:r>
        <w:rPr>
          <w:rFonts w:ascii="Calibri" w:eastAsia="Calibri" w:hAnsi="Calibri" w:cs="Calibri"/>
          <w:sz w:val="20"/>
          <w:szCs w:val="20"/>
          <w:lang w:eastAsia="en-US"/>
        </w:rPr>
        <w:t>En présence d’un conflit d’intérêt, elle informe la personne accueillie et/ ou son représentant légal de son impossibilité à accomplir sa mission et l’orienter vers</w:t>
      </w:r>
      <w:r>
        <w:rPr>
          <w:rFonts w:ascii="Calibri" w:eastAsia="Calibri" w:hAnsi="Calibri" w:cs="Calibri"/>
          <w:sz w:val="20"/>
          <w:szCs w:val="20"/>
          <w:lang w:eastAsia="en-US"/>
        </w:rPr>
        <w:t xml:space="preserve"> une autre personne qualifiée compétente.</w:t>
      </w:r>
    </w:p>
    <w:p w:rsidR="009524BD" w:rsidRDefault="009E6911">
      <w:pPr>
        <w:pStyle w:val="Standard"/>
        <w:spacing w:after="200" w:line="276" w:lineRule="auto"/>
        <w:jc w:val="both"/>
      </w:pPr>
      <w:r>
        <w:rPr>
          <w:rFonts w:ascii="Calibri" w:eastAsia="Calibri" w:hAnsi="Calibri" w:cs="Calibri"/>
          <w:b/>
          <w:sz w:val="20"/>
          <w:szCs w:val="20"/>
          <w:lang w:eastAsia="en-US"/>
        </w:rPr>
        <w:t>RETOUR D’EXPERIENCES</w:t>
      </w:r>
    </w:p>
    <w:p w:rsidR="009524BD" w:rsidRDefault="009E6911">
      <w:pPr>
        <w:pStyle w:val="Standard"/>
        <w:spacing w:after="200" w:line="276" w:lineRule="auto"/>
        <w:jc w:val="both"/>
      </w:pPr>
      <w:r>
        <w:rPr>
          <w:rFonts w:ascii="Calibri" w:eastAsia="Calibri" w:hAnsi="Calibri" w:cs="Calibri"/>
          <w:sz w:val="20"/>
          <w:szCs w:val="20"/>
          <w:lang w:eastAsia="en-US"/>
        </w:rPr>
        <w:t>La personne qualifiée s’engage à rendre compte de ces missions en participant aux temps des suivi et bilans annuels et de partage d’expérience organisés notamment par les institutions en charge</w:t>
      </w:r>
      <w:r>
        <w:rPr>
          <w:rFonts w:ascii="Calibri" w:eastAsia="Calibri" w:hAnsi="Calibri" w:cs="Calibri"/>
          <w:sz w:val="20"/>
          <w:szCs w:val="20"/>
          <w:lang w:eastAsia="en-US"/>
        </w:rPr>
        <w:t xml:space="preserve"> du dispositif (ARS, préfecture, département)</w:t>
      </w:r>
    </w:p>
    <w:p w:rsidR="009524BD" w:rsidRDefault="009E6911">
      <w:pPr>
        <w:pStyle w:val="Standard"/>
        <w:spacing w:after="200" w:line="27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BIENVEILLANCE</w:t>
      </w:r>
    </w:p>
    <w:p w:rsidR="009524BD" w:rsidRDefault="009E6911">
      <w:pPr>
        <w:pStyle w:val="Standard"/>
        <w:spacing w:after="200" w:line="276" w:lineRule="auto"/>
        <w:jc w:val="both"/>
      </w:pPr>
      <w:r>
        <w:t>Les usagers et leurs proches qui sollicitent la personne qualifiée sont souvent dans un état de vulnérabilité ou de souffrance. La personne qualifiée doit donc adopter une posture d’écoute active,</w:t>
      </w:r>
      <w:r>
        <w:t xml:space="preserve"> bienveillante pour garantir la sérénité des échanges</w:t>
      </w:r>
    </w:p>
    <w:tbl>
      <w:tblPr>
        <w:tblW w:w="9062" w:type="dxa"/>
        <w:tblInd w:w="-108" w:type="dxa"/>
        <w:tblLayout w:type="fixed"/>
        <w:tblCellMar>
          <w:left w:w="10" w:type="dxa"/>
          <w:right w:w="10" w:type="dxa"/>
        </w:tblCellMar>
        <w:tblLook w:val="04A0" w:firstRow="1" w:lastRow="0" w:firstColumn="1" w:lastColumn="0" w:noHBand="0" w:noVBand="1"/>
      </w:tblPr>
      <w:tblGrid>
        <w:gridCol w:w="9062"/>
      </w:tblGrid>
      <w:tr w:rsidR="009524BD">
        <w:tblPrEx>
          <w:tblCellMar>
            <w:top w:w="0" w:type="dxa"/>
            <w:bottom w:w="0" w:type="dxa"/>
          </w:tblCellMar>
        </w:tblPrEx>
        <w:tc>
          <w:tcPr>
            <w:tcW w:w="9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4BD" w:rsidRDefault="009E6911">
            <w:pPr>
              <w:pStyle w:val="Standard"/>
              <w:rPr>
                <w:rFonts w:ascii="Calibri" w:eastAsia="Calibri" w:hAnsi="Calibri" w:cs="Calibri"/>
                <w:b/>
                <w:sz w:val="20"/>
                <w:szCs w:val="20"/>
                <w:lang w:eastAsia="en-US"/>
              </w:rPr>
            </w:pPr>
            <w:r>
              <w:rPr>
                <w:rFonts w:ascii="Calibri" w:eastAsia="Calibri" w:hAnsi="Calibri" w:cs="Calibri"/>
                <w:b/>
                <w:sz w:val="20"/>
                <w:szCs w:val="20"/>
                <w:lang w:eastAsia="en-US"/>
              </w:rPr>
              <w:t>Date</w:t>
            </w:r>
          </w:p>
          <w:p w:rsidR="009524BD" w:rsidRDefault="009524BD">
            <w:pPr>
              <w:pStyle w:val="Standard"/>
              <w:rPr>
                <w:rFonts w:ascii="Calibri" w:eastAsia="Calibri" w:hAnsi="Calibri" w:cs="Calibri"/>
                <w:b/>
                <w:sz w:val="20"/>
                <w:szCs w:val="20"/>
                <w:lang w:eastAsia="en-US"/>
              </w:rPr>
            </w:pPr>
          </w:p>
          <w:p w:rsidR="009524BD" w:rsidRDefault="009E6911">
            <w:pPr>
              <w:pStyle w:val="Standard"/>
              <w:rPr>
                <w:rFonts w:ascii="Calibri" w:eastAsia="Calibri" w:hAnsi="Calibri" w:cs="Calibri"/>
                <w:b/>
                <w:sz w:val="20"/>
                <w:szCs w:val="20"/>
                <w:lang w:eastAsia="en-US"/>
              </w:rPr>
            </w:pPr>
            <w:r>
              <w:rPr>
                <w:rFonts w:ascii="Calibri" w:eastAsia="Calibri" w:hAnsi="Calibri" w:cs="Calibri"/>
                <w:b/>
                <w:sz w:val="20"/>
                <w:szCs w:val="20"/>
                <w:lang w:eastAsia="en-US"/>
              </w:rPr>
              <w:t>Signature de la personne qualifiée</w:t>
            </w:r>
          </w:p>
          <w:p w:rsidR="009524BD" w:rsidRDefault="009524BD">
            <w:pPr>
              <w:pStyle w:val="Standard"/>
              <w:rPr>
                <w:rFonts w:ascii="Calibri" w:eastAsia="Calibri" w:hAnsi="Calibri" w:cs="Calibri"/>
                <w:b/>
                <w:sz w:val="20"/>
                <w:szCs w:val="20"/>
                <w:lang w:eastAsia="en-US"/>
              </w:rPr>
            </w:pPr>
          </w:p>
        </w:tc>
      </w:tr>
    </w:tbl>
    <w:p w:rsidR="009524BD" w:rsidRDefault="009524BD">
      <w:pPr>
        <w:pStyle w:val="Standard"/>
        <w:spacing w:after="200" w:line="276" w:lineRule="auto"/>
        <w:rPr>
          <w:rFonts w:ascii="Arial" w:hAnsi="Arial" w:cs="Arial"/>
          <w:b/>
          <w:sz w:val="56"/>
          <w:szCs w:val="56"/>
          <w:u w:val="single"/>
        </w:rPr>
      </w:pPr>
    </w:p>
    <w:sectPr w:rsidR="009524BD">
      <w:pgSz w:w="11906" w:h="16838"/>
      <w:pgMar w:top="993" w:right="1133" w:bottom="141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11" w:rsidRDefault="009E6911">
      <w:r>
        <w:separator/>
      </w:r>
    </w:p>
  </w:endnote>
  <w:endnote w:type="continuationSeparator" w:id="0">
    <w:p w:rsidR="009E6911" w:rsidRDefault="009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11" w:rsidRDefault="009E6911">
      <w:r>
        <w:rPr>
          <w:color w:val="000000"/>
        </w:rPr>
        <w:separator/>
      </w:r>
    </w:p>
  </w:footnote>
  <w:footnote w:type="continuationSeparator" w:id="0">
    <w:p w:rsidR="009E6911" w:rsidRDefault="009E6911">
      <w:r>
        <w:continuationSeparator/>
      </w:r>
    </w:p>
  </w:footnote>
  <w:footnote w:id="1">
    <w:p w:rsidR="009524BD" w:rsidRDefault="009E6911">
      <w:r>
        <w:rPr>
          <w:rStyle w:val="Appelnotedebasdep"/>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280"/>
    <w:multiLevelType w:val="multilevel"/>
    <w:tmpl w:val="12E66F1E"/>
    <w:styleLink w:val="WW8Num11"/>
    <w:lvl w:ilvl="0">
      <w:numFmt w:val="bullet"/>
      <w:lvlText w:val="-"/>
      <w:lvlJc w:val="left"/>
      <w:pPr>
        <w:ind w:left="1065" w:hanging="360"/>
      </w:pPr>
      <w:rPr>
        <w:rFonts w:ascii="Times New Roman" w:eastAsia="Times New Roman" w:hAnsi="Times New Roman" w:cs="Times New Roman"/>
        <w:color w:val="FF0000"/>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1" w15:restartNumberingAfterBreak="0">
    <w:nsid w:val="08A43955"/>
    <w:multiLevelType w:val="multilevel"/>
    <w:tmpl w:val="4DB6AB38"/>
    <w:styleLink w:val="WW8Num17"/>
    <w:lvl w:ilvl="0">
      <w:start w:val="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396929"/>
    <w:multiLevelType w:val="multilevel"/>
    <w:tmpl w:val="0C5C71EE"/>
    <w:styleLink w:val="WW8Num16"/>
    <w:lvl w:ilvl="0">
      <w:start w:val="1"/>
      <w:numFmt w:val="upperRoman"/>
      <w:lvlText w:val="%1."/>
      <w:lvlJc w:val="left"/>
      <w:pPr>
        <w:ind w:left="720" w:hanging="360"/>
      </w:pPr>
      <w:rPr>
        <w:b/>
        <w:iCs/>
        <w:color w:val="0000FF"/>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42D2C9D"/>
    <w:multiLevelType w:val="multilevel"/>
    <w:tmpl w:val="98568DC6"/>
    <w:styleLink w:val="WW8Num3"/>
    <w:lvl w:ilvl="0">
      <w:numFmt w:val="bullet"/>
      <w:lvlText w:val=""/>
      <w:lvlJc w:val="left"/>
      <w:pPr>
        <w:ind w:left="720" w:hanging="360"/>
      </w:pPr>
      <w:rPr>
        <w:rFonts w:ascii="Symbol" w:eastAsia="Calibri" w:hAnsi="Symbol" w:cs="Symbol"/>
        <w:color w:val="1F497D"/>
        <w:lang w:eastAsia="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Calibri" w:hAnsi="Symbol" w:cs="Symbol"/>
        <w:color w:val="1F497D"/>
        <w:lang w:eastAsia="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Calibri" w:hAnsi="Symbol" w:cs="Symbol"/>
        <w:color w:val="1F497D"/>
        <w:lang w:eastAsia="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70E21B6"/>
    <w:multiLevelType w:val="multilevel"/>
    <w:tmpl w:val="0A547840"/>
    <w:styleLink w:val="WW8Num1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9CB3057"/>
    <w:multiLevelType w:val="multilevel"/>
    <w:tmpl w:val="6ABC14DE"/>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D835F70"/>
    <w:multiLevelType w:val="multilevel"/>
    <w:tmpl w:val="2102CD5C"/>
    <w:styleLink w:val="WW8Num27"/>
    <w:lvl w:ilvl="0">
      <w:start w:val="2"/>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0DD7C6A"/>
    <w:multiLevelType w:val="multilevel"/>
    <w:tmpl w:val="947E5010"/>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FF4F75"/>
    <w:multiLevelType w:val="multilevel"/>
    <w:tmpl w:val="04F6C68E"/>
    <w:styleLink w:val="WW8Num1"/>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8DB23EE"/>
    <w:multiLevelType w:val="multilevel"/>
    <w:tmpl w:val="53182FB2"/>
    <w:styleLink w:val="WW8Num10"/>
    <w:lvl w:ilvl="0">
      <w:numFmt w:val="bullet"/>
      <w:lvlText w:val="-"/>
      <w:lvlJc w:val="left"/>
      <w:rPr>
        <w:rFonts w:ascii="Calibri" w:eastAsia="Calibri" w:hAnsi="Calibri" w:cs="Calibri"/>
        <w:sz w:val="22"/>
        <w:szCs w:val="22"/>
        <w:lang w:eastAsia="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B3A1891"/>
    <w:multiLevelType w:val="multilevel"/>
    <w:tmpl w:val="5B8C61D4"/>
    <w:styleLink w:val="WW8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34473EA7"/>
    <w:multiLevelType w:val="multilevel"/>
    <w:tmpl w:val="9EE09448"/>
    <w:styleLink w:val="WW8Num1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3E6317AA"/>
    <w:multiLevelType w:val="multilevel"/>
    <w:tmpl w:val="0A70C980"/>
    <w:styleLink w:val="WW8Num25"/>
    <w:lvl w:ilvl="0">
      <w:start w:val="1"/>
      <w:numFmt w:val="lowerLetter"/>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EFA4225"/>
    <w:multiLevelType w:val="multilevel"/>
    <w:tmpl w:val="8714A538"/>
    <w:styleLink w:val="WW8Num7"/>
    <w:lvl w:ilvl="0">
      <w:start w:val="1"/>
      <w:numFmt w:val="upperRoman"/>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3FD45738"/>
    <w:multiLevelType w:val="multilevel"/>
    <w:tmpl w:val="958E13C4"/>
    <w:styleLink w:val="WW8Num4"/>
    <w:lvl w:ilvl="0">
      <w:start w:val="3"/>
      <w:numFmt w:val="decimal"/>
      <w:lvlText w:val="%1."/>
      <w:lvlJc w:val="left"/>
      <w:pPr>
        <w:ind w:left="720" w:hanging="360"/>
      </w:pPr>
      <w:rPr>
        <w:b/>
        <w:u w:val="singl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2BB41A9"/>
    <w:multiLevelType w:val="multilevel"/>
    <w:tmpl w:val="6B505F92"/>
    <w:styleLink w:val="WW8Num2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52AE1C55"/>
    <w:multiLevelType w:val="multilevel"/>
    <w:tmpl w:val="19D8DFD4"/>
    <w:styleLink w:val="WW8Num24"/>
    <w:lvl w:ilvl="0">
      <w:start w:val="2"/>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7006C3B"/>
    <w:multiLevelType w:val="multilevel"/>
    <w:tmpl w:val="B9E2A69C"/>
    <w:styleLink w:val="WW8Num26"/>
    <w:lvl w:ilvl="0">
      <w:numFmt w:val="bullet"/>
      <w:lvlText w:val=""/>
      <w:lvlJc w:val="left"/>
      <w:pPr>
        <w:ind w:left="1065" w:hanging="360"/>
      </w:pPr>
      <w:rPr>
        <w:rFonts w:ascii="Wingdings" w:hAnsi="Wingdings" w:cs="Wingdings"/>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18" w15:restartNumberingAfterBreak="0">
    <w:nsid w:val="5F161F02"/>
    <w:multiLevelType w:val="multilevel"/>
    <w:tmpl w:val="6DF27640"/>
    <w:styleLink w:val="WW8Num15"/>
    <w:lvl w:ilvl="0">
      <w:start w:val="1"/>
      <w:numFmt w:val="decimal"/>
      <w:lvlText w:val="%1."/>
      <w:lvlJc w:val="left"/>
      <w:pPr>
        <w:ind w:left="720" w:hanging="360"/>
      </w:pPr>
      <w:rPr>
        <w:rFonts w:ascii="Arial" w:hAnsi="Arial" w:cs="Arial"/>
        <w:b/>
        <w:bCs/>
        <w:color w:val="0000FF"/>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1AC5807"/>
    <w:multiLevelType w:val="multilevel"/>
    <w:tmpl w:val="AC908F8C"/>
    <w:styleLink w:val="WW8Num5"/>
    <w:lvl w:ilvl="0">
      <w:start w:val="1"/>
      <w:numFmt w:val="lowerLetter"/>
      <w:lvlText w:val="%1)"/>
      <w:lvlJc w:val="left"/>
      <w:pPr>
        <w:ind w:left="720" w:hanging="360"/>
      </w:pPr>
      <w:rPr>
        <w:rFonts w:ascii="Arial" w:hAnsi="Arial" w:cs="Arial"/>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F57D8A"/>
    <w:multiLevelType w:val="multilevel"/>
    <w:tmpl w:val="CB82F252"/>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64FB3015"/>
    <w:multiLevelType w:val="multilevel"/>
    <w:tmpl w:val="83A60448"/>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59D0CE6"/>
    <w:multiLevelType w:val="multilevel"/>
    <w:tmpl w:val="0172ADA8"/>
    <w:styleLink w:val="WW8Num19"/>
    <w:lvl w:ilvl="0">
      <w:numFmt w:val="bullet"/>
      <w:lvlText w:val=""/>
      <w:lvlJc w:val="left"/>
      <w:pPr>
        <w:ind w:left="1440" w:hanging="360"/>
      </w:pPr>
      <w:rPr>
        <w:rFonts w:ascii="Symbol" w:eastAsia="Calibri" w:hAnsi="Symbol" w:cs="Symbol"/>
        <w:color w:val="8EAADB"/>
        <w:lang w:eastAsia="en-U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eastAsia="Calibri" w:hAnsi="Symbol" w:cs="Symbol"/>
        <w:color w:val="8EAADB"/>
        <w:lang w:eastAsia="en-US"/>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eastAsia="Calibri" w:hAnsi="Symbol" w:cs="Symbol"/>
        <w:color w:val="8EAADB"/>
        <w:lang w:eastAsia="en-US"/>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3" w15:restartNumberingAfterBreak="0">
    <w:nsid w:val="74397A70"/>
    <w:multiLevelType w:val="multilevel"/>
    <w:tmpl w:val="BF584590"/>
    <w:styleLink w:val="WW8Num2"/>
    <w:lvl w:ilvl="0">
      <w:start w:val="1"/>
      <w:numFmt w:val="decimal"/>
      <w:lvlText w:val="%1-"/>
      <w:lvlJc w:val="left"/>
      <w:pPr>
        <w:ind w:left="720" w:hanging="360"/>
      </w:pPr>
      <w:rPr>
        <w:b w:val="0"/>
        <w:sz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916093E"/>
    <w:multiLevelType w:val="multilevel"/>
    <w:tmpl w:val="95BA9050"/>
    <w:styleLink w:val="WW8Num8"/>
    <w:lvl w:ilvl="0">
      <w:numFmt w:val="bullet"/>
      <w:lvlText w:val=""/>
      <w:lvlJc w:val="left"/>
      <w:pPr>
        <w:ind w:left="1065" w:hanging="360"/>
      </w:pPr>
      <w:rPr>
        <w:rFonts w:ascii="Symbol" w:eastAsia="Times New Roman" w:hAnsi="Symbo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25" w15:restartNumberingAfterBreak="0">
    <w:nsid w:val="7BD863D4"/>
    <w:multiLevelType w:val="multilevel"/>
    <w:tmpl w:val="1F3CA946"/>
    <w:styleLink w:val="WW8Num9"/>
    <w:lvl w:ilvl="0">
      <w:start w:val="1"/>
      <w:numFmt w:val="upperRoman"/>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DA20045"/>
    <w:multiLevelType w:val="multilevel"/>
    <w:tmpl w:val="285CA6C4"/>
    <w:styleLink w:val="WW8Num21"/>
    <w:lvl w:ilvl="0">
      <w:start w:val="4"/>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8"/>
  </w:num>
  <w:num w:numId="2">
    <w:abstractNumId w:val="23"/>
  </w:num>
  <w:num w:numId="3">
    <w:abstractNumId w:val="3"/>
  </w:num>
  <w:num w:numId="4">
    <w:abstractNumId w:val="14"/>
  </w:num>
  <w:num w:numId="5">
    <w:abstractNumId w:val="19"/>
  </w:num>
  <w:num w:numId="6">
    <w:abstractNumId w:val="10"/>
  </w:num>
  <w:num w:numId="7">
    <w:abstractNumId w:val="13"/>
  </w:num>
  <w:num w:numId="8">
    <w:abstractNumId w:val="24"/>
  </w:num>
  <w:num w:numId="9">
    <w:abstractNumId w:val="25"/>
  </w:num>
  <w:num w:numId="10">
    <w:abstractNumId w:val="9"/>
  </w:num>
  <w:num w:numId="11">
    <w:abstractNumId w:val="0"/>
  </w:num>
  <w:num w:numId="12">
    <w:abstractNumId w:val="11"/>
  </w:num>
  <w:num w:numId="13">
    <w:abstractNumId w:val="4"/>
  </w:num>
  <w:num w:numId="14">
    <w:abstractNumId w:val="20"/>
  </w:num>
  <w:num w:numId="15">
    <w:abstractNumId w:val="18"/>
  </w:num>
  <w:num w:numId="16">
    <w:abstractNumId w:val="2"/>
  </w:num>
  <w:num w:numId="17">
    <w:abstractNumId w:val="1"/>
  </w:num>
  <w:num w:numId="18">
    <w:abstractNumId w:val="5"/>
  </w:num>
  <w:num w:numId="19">
    <w:abstractNumId w:val="22"/>
  </w:num>
  <w:num w:numId="20">
    <w:abstractNumId w:val="15"/>
  </w:num>
  <w:num w:numId="21">
    <w:abstractNumId w:val="26"/>
  </w:num>
  <w:num w:numId="22">
    <w:abstractNumId w:val="7"/>
  </w:num>
  <w:num w:numId="23">
    <w:abstractNumId w:val="21"/>
  </w:num>
  <w:num w:numId="24">
    <w:abstractNumId w:val="16"/>
  </w:num>
  <w:num w:numId="25">
    <w:abstractNumId w:val="12"/>
  </w:num>
  <w:num w:numId="26">
    <w:abstractNumId w:val="17"/>
  </w:num>
  <w:num w:numId="27">
    <w:abstractNumId w:val="6"/>
  </w:num>
  <w:num w:numId="28">
    <w:abstractNumId w:val="2"/>
    <w:lvlOverride w:ilvl="0">
      <w:startOverride w:val="1"/>
    </w:lvlOverride>
  </w:num>
  <w:num w:numId="29">
    <w:abstractNumId w:val="18"/>
    <w:lvlOverride w:ilvl="0">
      <w:startOverride w:val="1"/>
    </w:lvlOverride>
  </w:num>
  <w:num w:numId="30">
    <w:abstractNumId w:val="24"/>
    <w:lvlOverride w:ilvl="0"/>
  </w:num>
  <w:num w:numId="31">
    <w:abstractNumId w:val="21"/>
    <w:lvlOverride w:ilvl="0"/>
  </w:num>
  <w:num w:numId="32">
    <w:abstractNumId w:val="19"/>
    <w:lvlOverride w:ilvl="0">
      <w:startOverride w:val="1"/>
    </w:lvlOverride>
  </w:num>
  <w:num w:numId="33">
    <w:abstractNumId w:val="15"/>
    <w:lvlOverride w:ilvl="0"/>
  </w:num>
  <w:num w:numId="34">
    <w:abstractNumId w:val="0"/>
    <w:lvlOverride w:ilvl="0"/>
  </w:num>
  <w:num w:numId="35">
    <w:abstractNumId w:val="17"/>
    <w:lvlOverride w:ilvl="0"/>
  </w:num>
  <w:num w:numId="3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524BD"/>
    <w:rsid w:val="003B1826"/>
    <w:rsid w:val="00821AED"/>
    <w:rsid w:val="009524BD"/>
    <w:rsid w:val="009E6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6AC43-FE25-4D61-A932-4EC8AB41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rFonts w:ascii="Arial" w:eastAsia="Arial" w:hAnsi="Arial" w:cs="Arial"/>
    </w:rPr>
  </w:style>
  <w:style w:type="paragraph" w:styleId="Liste">
    <w:name w:val="List"/>
    <w:basedOn w:val="Textbody"/>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orpsdetexte2">
    <w:name w:val="Body Text 2"/>
    <w:basedOn w:val="Standard"/>
    <w:pPr>
      <w:jc w:val="both"/>
    </w:pPr>
    <w:rPr>
      <w:rFonts w:ascii="Arial" w:eastAsia="Arial" w:hAnsi="Arial" w:cs="Arial"/>
      <w:b/>
      <w:bCs/>
    </w:rPr>
  </w:style>
  <w:style w:type="paragraph" w:styleId="Paragraphedeliste">
    <w:name w:val="List Paragraph"/>
    <w:basedOn w:val="Standard"/>
    <w:pPr>
      <w:ind w:left="708"/>
    </w:p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tabs>
        <w:tab w:val="center" w:pos="4536"/>
        <w:tab w:val="right" w:pos="9072"/>
      </w:tabs>
    </w:pPr>
  </w:style>
  <w:style w:type="paragraph" w:styleId="Explorateurdedocuments">
    <w:name w:val="Document Map"/>
    <w:basedOn w:val="Standard"/>
    <w:pPr>
      <w:shd w:val="clear" w:color="auto" w:fill="000080"/>
    </w:pPr>
    <w:rPr>
      <w:rFonts w:ascii="Tahoma" w:eastAsia="Tahoma" w:hAnsi="Tahoma" w:cs="Tahoma"/>
      <w:sz w:val="20"/>
      <w:szCs w:val="20"/>
    </w:rPr>
  </w:style>
  <w:style w:type="paragraph" w:styleId="En-tte">
    <w:name w:val="header"/>
    <w:basedOn w:val="Standard"/>
    <w:pPr>
      <w:tabs>
        <w:tab w:val="center" w:pos="4536"/>
        <w:tab w:val="right" w:pos="9072"/>
      </w:tabs>
    </w:pPr>
  </w:style>
  <w:style w:type="paragraph" w:customStyle="1" w:styleId="Footnote">
    <w:name w:val="Footnote"/>
    <w:basedOn w:val="Standard"/>
    <w:rPr>
      <w:rFonts w:ascii="Calibri" w:eastAsia="Calibri" w:hAnsi="Calibri" w:cs="Calibri"/>
      <w:sz w:val="20"/>
      <w:szCs w:val="20"/>
    </w:rPr>
  </w:style>
  <w:style w:type="paragraph" w:styleId="Textedebulles">
    <w:name w:val="Balloon Text"/>
    <w:basedOn w:val="Standard"/>
    <w:rPr>
      <w:rFonts w:ascii="Segoe UI" w:eastAsia="Segoe UI" w:hAnsi="Segoe UI" w:cs="Segoe UI"/>
      <w:sz w:val="18"/>
      <w:szCs w:val="18"/>
    </w:rPr>
  </w:style>
  <w:style w:type="paragraph" w:styleId="Commentaire">
    <w:name w:val="annotation text"/>
    <w:basedOn w:val="Standard"/>
    <w:rPr>
      <w:sz w:val="20"/>
      <w:szCs w:val="20"/>
    </w:rPr>
  </w:style>
  <w:style w:type="paragraph" w:styleId="Objetducommentaire">
    <w:name w:val="annotation subject"/>
    <w:basedOn w:val="Commentaire"/>
    <w:next w:val="Commentaire"/>
    <w:rPr>
      <w:b/>
      <w:bCs/>
    </w:rPr>
  </w:style>
  <w:style w:type="paragraph" w:styleId="Rvision">
    <w:name w:val="Revision"/>
    <w:pPr>
      <w:widowControl/>
      <w:suppressAutoHyphens/>
    </w:pPr>
    <w:rPr>
      <w:rFonts w:ascii="Times New Roman" w:eastAsia="Times New Roman" w:hAnsi="Times New Roman" w:cs="Times New Roman"/>
      <w:lang w:bidi="ar-SA"/>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Calibri" w:hAnsi="Symbol" w:cs="Symbol"/>
      <w:color w:val="1F497D"/>
      <w:lang w:eastAsia="en-US"/>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b/>
      <w:u w:val="singl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b/>
      <w:b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Symbol" w:eastAsia="Times New Roman" w:hAnsi="Symbol" w:cs="Aria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sz w:val="22"/>
      <w:szCs w:val="22"/>
      <w:lang w:eastAsia="en-US"/>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Times New Roman" w:eastAsia="Times New Roman" w:hAnsi="Times New Roman" w:cs="Times New Roman"/>
      <w:color w:val="FF0000"/>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0">
    <w:name w:val="WW8Num15z0"/>
    <w:rPr>
      <w:rFonts w:ascii="Arial" w:eastAsia="Arial" w:hAnsi="Arial" w:cs="Arial"/>
      <w:b/>
      <w:bCs/>
      <w:color w:val="0000FF"/>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iCs/>
      <w:color w:val="0000FF"/>
      <w:sz w:val="32"/>
      <w:szCs w:val="32"/>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Calibri" w:hAnsi="Symbol" w:cs="Symbol"/>
      <w:color w:val="8EAADB"/>
      <w:lang w:eastAsia="en-US"/>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Wingdings" w:eastAsia="Wingdings" w:hAnsi="Wingdings" w:cs="Wingdings"/>
    </w:rPr>
  </w:style>
  <w:style w:type="character" w:customStyle="1" w:styleId="WW8Num20z1">
    <w:name w:val="WW8Num20z1"/>
    <w:rPr>
      <w:rFonts w:ascii="Courier New" w:eastAsia="Courier New" w:hAnsi="Courier New" w:cs="Courier New"/>
    </w:rPr>
  </w:style>
  <w:style w:type="character" w:customStyle="1" w:styleId="WW8Num20z3">
    <w:name w:val="WW8Num20z3"/>
    <w:rPr>
      <w:rFonts w:ascii="Symbol" w:eastAsia="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eastAsia="Wingdings" w:hAnsi="Wingdings" w:cs="Wingdings"/>
    </w:rPr>
  </w:style>
  <w:style w:type="character" w:customStyle="1" w:styleId="WW8Num26z1">
    <w:name w:val="WW8Num26z1"/>
    <w:rPr>
      <w:rFonts w:ascii="Courier New" w:eastAsia="Courier New" w:hAnsi="Courier New" w:cs="Courier New"/>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Numrodepage">
    <w:name w:val="page number"/>
    <w:basedOn w:val="Policepardfaut"/>
  </w:style>
  <w:style w:type="character" w:customStyle="1" w:styleId="En-tteCar">
    <w:name w:val="En-tête Car"/>
    <w:rPr>
      <w:sz w:val="24"/>
      <w:szCs w:val="24"/>
    </w:rPr>
  </w:style>
  <w:style w:type="character" w:customStyle="1" w:styleId="NotedebasdepageCar">
    <w:name w:val="Note de bas de page Car"/>
    <w:rPr>
      <w:rFonts w:ascii="Calibri" w:eastAsia="Calibri" w:hAnsi="Calibri" w:cs="Calibri"/>
    </w:rPr>
  </w:style>
  <w:style w:type="character" w:customStyle="1" w:styleId="FootnoteSymbol">
    <w:name w:val="Footnote Symbol"/>
    <w:rPr>
      <w:position w:val="0"/>
      <w:vertAlign w:val="superscript"/>
    </w:rPr>
  </w:style>
  <w:style w:type="character" w:customStyle="1" w:styleId="Lienhypertexte1">
    <w:name w:val="Lien hypertexte1"/>
    <w:rPr>
      <w:color w:val="0000FF"/>
      <w:u w:val="single"/>
    </w:rPr>
  </w:style>
  <w:style w:type="character" w:customStyle="1" w:styleId="Internetlink">
    <w:name w:val="Internet link"/>
    <w:rPr>
      <w:color w:val="0563C1"/>
      <w:u w:val="single"/>
    </w:rPr>
  </w:style>
  <w:style w:type="character" w:customStyle="1" w:styleId="TextedebullesCar">
    <w:name w:val="Texte de bulles Car"/>
    <w:rPr>
      <w:rFonts w:ascii="Segoe UI" w:eastAsia="Segoe UI" w:hAnsi="Segoe UI" w:cs="Segoe UI"/>
      <w:sz w:val="18"/>
      <w:szCs w:val="18"/>
    </w:rPr>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ObjetducommentaireCar">
    <w:name w:val="Objet du commentaire Car"/>
    <w:rPr>
      <w:b/>
      <w:bCs/>
    </w:rPr>
  </w:style>
  <w:style w:type="character" w:customStyle="1" w:styleId="Footnoteanchor">
    <w:name w:val="Footnote anchor"/>
    <w:rPr>
      <w:position w:val="0"/>
      <w:vertAlign w:val="superscript"/>
    </w:rPr>
  </w:style>
  <w:style w:type="character" w:styleId="lev">
    <w:name w:val="Strong"/>
    <w:basedOn w:val="Policepardfaut"/>
    <w:rPr>
      <w:b/>
      <w:bCs/>
    </w:rPr>
  </w:style>
  <w:style w:type="character" w:styleId="Appelnotedebasdep">
    <w:name w:val="footnote reference"/>
    <w:basedOn w:val="Policepardfaut"/>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rs-paca-dt13-personnes-qualifiees@ars.sante.fr"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INetCache/Content.Outlook/8OQ929TQ/Cahier%20des%20charges%20Personnes%20qualifi&#233;es.od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10915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lpstr>
    </vt:vector>
  </TitlesOfParts>
  <Company>Ministère des affaires sociales</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Emmanuel REYNIER</dc:creator>
  <dc:description/>
  <cp:lastModifiedBy>JUAN, Manon (ARS-PACA/DG/SCD)</cp:lastModifiedBy>
  <cp:revision>2</cp:revision>
  <cp:lastPrinted>2023-06-21T11:02:00Z</cp:lastPrinted>
  <dcterms:created xsi:type="dcterms:W3CDTF">2023-06-29T08:16:00Z</dcterms:created>
  <dcterms:modified xsi:type="dcterms:W3CDTF">2023-06-29T08:16:00Z</dcterms:modified>
</cp:coreProperties>
</file>