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1E" w:rsidRDefault="0064701E" w:rsidP="006D4BA4">
      <w:pPr>
        <w:jc w:val="both"/>
      </w:pPr>
      <w:bookmarkStart w:id="0" w:name="_GoBack"/>
      <w:bookmarkEnd w:id="0"/>
    </w:p>
    <w:p w:rsidR="00B35898" w:rsidRDefault="00B35898" w:rsidP="006D4BA4">
      <w:pPr>
        <w:jc w:val="both"/>
      </w:pPr>
    </w:p>
    <w:p w:rsidR="0064701E" w:rsidRDefault="0064701E" w:rsidP="006D4BA4">
      <w:pPr>
        <w:jc w:val="both"/>
      </w:pPr>
    </w:p>
    <w:p w:rsidR="0064701E" w:rsidRPr="00B45ECE" w:rsidRDefault="0064701E" w:rsidP="006D4BA4">
      <w:pPr>
        <w:pStyle w:val="Titre"/>
        <w:rPr>
          <w:rFonts w:cs="Arial"/>
          <w:color w:val="auto"/>
          <w:sz w:val="32"/>
          <w:szCs w:val="32"/>
        </w:rPr>
      </w:pPr>
      <w:r w:rsidRPr="00B45ECE">
        <w:rPr>
          <w:rFonts w:cs="Arial"/>
          <w:color w:val="auto"/>
          <w:sz w:val="32"/>
          <w:szCs w:val="32"/>
        </w:rPr>
        <w:t>ACCES ET AMENAGEMENT des OFFICINES DE PHARMACIE</w:t>
      </w:r>
    </w:p>
    <w:p w:rsidR="0064701E" w:rsidRPr="00D05A45" w:rsidRDefault="0064701E" w:rsidP="006D4BA4">
      <w:pPr>
        <w:pStyle w:val="Titre"/>
        <w:rPr>
          <w:rFonts w:cs="Arial"/>
          <w:color w:val="auto"/>
          <w:sz w:val="20"/>
        </w:rPr>
      </w:pPr>
      <w:r w:rsidRPr="00D05A45">
        <w:rPr>
          <w:rFonts w:cs="Arial"/>
          <w:color w:val="auto"/>
          <w:sz w:val="20"/>
        </w:rPr>
        <w:t>« Conditions définies aux articles R.5125-</w:t>
      </w:r>
      <w:r>
        <w:rPr>
          <w:rFonts w:cs="Arial"/>
          <w:color w:val="auto"/>
          <w:sz w:val="20"/>
        </w:rPr>
        <w:t>8</w:t>
      </w:r>
      <w:r w:rsidRPr="00D05A45">
        <w:rPr>
          <w:rFonts w:cs="Arial"/>
          <w:color w:val="auto"/>
          <w:sz w:val="20"/>
        </w:rPr>
        <w:t xml:space="preserve"> et R.51</w:t>
      </w:r>
      <w:r w:rsidR="00BA1C66">
        <w:rPr>
          <w:rFonts w:cs="Arial"/>
          <w:color w:val="auto"/>
          <w:sz w:val="20"/>
        </w:rPr>
        <w:t>25-9 du c</w:t>
      </w:r>
      <w:r>
        <w:rPr>
          <w:rFonts w:cs="Arial"/>
          <w:color w:val="auto"/>
          <w:sz w:val="20"/>
        </w:rPr>
        <w:t>ode de la santé p</w:t>
      </w:r>
      <w:r w:rsidR="00BA1C66">
        <w:rPr>
          <w:rFonts w:cs="Arial"/>
          <w:color w:val="auto"/>
          <w:sz w:val="20"/>
        </w:rPr>
        <w:t>ublique</w:t>
      </w:r>
    </w:p>
    <w:p w:rsidR="0064701E" w:rsidRDefault="0064701E" w:rsidP="006D4BA4">
      <w:pPr>
        <w:jc w:val="both"/>
      </w:pPr>
    </w:p>
    <w:p w:rsidR="006D4BA4" w:rsidRDefault="006D4BA4" w:rsidP="006D4BA4">
      <w:pPr>
        <w:jc w:val="both"/>
      </w:pPr>
    </w:p>
    <w:p w:rsidR="0064701E" w:rsidRPr="00C409DE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Nom, prénom, adresse et coordonnée</w:t>
      </w:r>
      <w:r>
        <w:rPr>
          <w:rFonts w:ascii="Arial" w:hAnsi="Arial" w:cs="Arial"/>
          <w:b/>
        </w:rPr>
        <w:t>s téléphonique de chaque requéra</w:t>
      </w:r>
      <w:r w:rsidRPr="00C409DE">
        <w:rPr>
          <w:rFonts w:ascii="Arial" w:hAnsi="Arial" w:cs="Arial"/>
          <w:b/>
        </w:rPr>
        <w:t>nt</w:t>
      </w:r>
    </w:p>
    <w:p w:rsidR="00C409DE" w:rsidRDefault="00C409DE" w:rsidP="006D4BA4">
      <w:pP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Default="00C409DE" w:rsidP="006D4BA4">
      <w:pPr>
        <w:jc w:val="both"/>
        <w:rPr>
          <w:rFonts w:ascii="Arial" w:hAnsi="Arial" w:cs="Arial"/>
          <w:b/>
          <w:highlight w:val="yellow"/>
        </w:rPr>
      </w:pP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Adresse mail</w:t>
      </w: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</w:p>
    <w:p w:rsidR="00C409DE" w:rsidRP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P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P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</w:p>
    <w:p w:rsidR="0064701E" w:rsidRPr="006D4BA4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Identification</w:t>
      </w:r>
      <w:r w:rsidR="0064701E" w:rsidRPr="00C409DE">
        <w:rPr>
          <w:rFonts w:ascii="Arial" w:hAnsi="Arial" w:cs="Arial"/>
          <w:b/>
        </w:rPr>
        <w:t xml:space="preserve"> de l’officine :</w:t>
      </w:r>
    </w:p>
    <w:p w:rsidR="00D01371" w:rsidRDefault="00D01371" w:rsidP="006D4BA4">
      <w:pPr>
        <w:jc w:val="both"/>
        <w:rPr>
          <w:rFonts w:ascii="Arial" w:hAnsi="Arial" w:cs="Arial"/>
        </w:rPr>
      </w:pPr>
    </w:p>
    <w:p w:rsidR="00D01371" w:rsidRDefault="00D01371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4701E" w:rsidRDefault="0064701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jc w:val="both"/>
        <w:rPr>
          <w:rFonts w:ascii="Arial" w:hAnsi="Arial" w:cs="Arial"/>
        </w:rPr>
      </w:pP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Adresse (s) – Lieux de départ et d’accueil</w:t>
      </w:r>
    </w:p>
    <w:p w:rsidR="00C409DE" w:rsidRDefault="00C409DE" w:rsidP="006D4BA4">
      <w:pP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Départ :</w:t>
      </w: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Accueil :</w:t>
      </w: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6D4BA4">
      <w:pPr>
        <w:jc w:val="both"/>
        <w:rPr>
          <w:rFonts w:ascii="Arial" w:hAnsi="Arial" w:cs="Arial"/>
        </w:rPr>
      </w:pPr>
    </w:p>
    <w:p w:rsidR="00575EED" w:rsidRPr="00380308" w:rsidRDefault="00575EED" w:rsidP="00575EED">
      <w:pPr>
        <w:jc w:val="both"/>
        <w:rPr>
          <w:rFonts w:ascii="Arial" w:hAnsi="Arial" w:cs="Arial"/>
          <w:b/>
        </w:rPr>
      </w:pPr>
      <w:r w:rsidRPr="00380308">
        <w:rPr>
          <w:rFonts w:ascii="Arial" w:hAnsi="Arial" w:cs="Arial"/>
          <w:b/>
        </w:rPr>
        <w:t xml:space="preserve">Présence de lieux de stockage à proximité de l'officine </w:t>
      </w:r>
    </w:p>
    <w:p w:rsidR="00575EED" w:rsidRPr="00380308" w:rsidRDefault="00575EED" w:rsidP="00575EED">
      <w:pPr>
        <w:jc w:val="both"/>
        <w:rPr>
          <w:rFonts w:ascii="Arial" w:hAnsi="Arial" w:cs="Arial"/>
        </w:rPr>
      </w:pPr>
    </w:p>
    <w:p w:rsidR="00575EED" w:rsidRPr="00380308" w:rsidRDefault="00575EED" w:rsidP="00575EED">
      <w:pPr>
        <w:jc w:val="both"/>
        <w:rPr>
          <w:rFonts w:ascii="Arial" w:hAnsi="Arial" w:cs="Arial"/>
        </w:rPr>
      </w:pPr>
      <w:r w:rsidRPr="00380308">
        <w:rPr>
          <w:rFonts w:ascii="Arial" w:eastAsia="MS Mincho" w:hAnsi="Arial" w:cs="Arial" w:hint="eastAsia"/>
        </w:rPr>
        <w:t>☐</w:t>
      </w:r>
      <w:r w:rsidRPr="00380308">
        <w:rPr>
          <w:rFonts w:ascii="Arial" w:hAnsi="Arial" w:cs="Arial"/>
        </w:rPr>
        <w:t>Oui</w:t>
      </w:r>
      <w:r w:rsidRPr="00380308">
        <w:rPr>
          <w:rFonts w:ascii="Arial" w:hAnsi="Arial" w:cs="Arial"/>
        </w:rPr>
        <w:tab/>
      </w:r>
      <w:r w:rsidRPr="00380308">
        <w:rPr>
          <w:rFonts w:ascii="Arial" w:hAnsi="Arial" w:cs="Arial"/>
        </w:rPr>
        <w:tab/>
      </w:r>
      <w:r w:rsidRPr="00380308">
        <w:rPr>
          <w:rFonts w:ascii="Arial" w:hAnsi="Arial" w:cs="Arial"/>
        </w:rPr>
        <w:tab/>
        <w:t xml:space="preserve">  </w:t>
      </w:r>
      <w:r w:rsidRPr="00380308">
        <w:rPr>
          <w:rFonts w:ascii="Arial" w:eastAsia="MS Mincho" w:hAnsi="Arial" w:cs="Arial" w:hint="eastAsia"/>
        </w:rPr>
        <w:t>☐</w:t>
      </w:r>
      <w:r w:rsidRPr="00380308">
        <w:rPr>
          <w:rFonts w:ascii="Arial" w:hAnsi="Arial" w:cs="Arial"/>
        </w:rPr>
        <w:t>Non</w:t>
      </w:r>
    </w:p>
    <w:p w:rsidR="00575EED" w:rsidRPr="00380308" w:rsidRDefault="00575EED" w:rsidP="00575EED">
      <w:pPr>
        <w:jc w:val="both"/>
        <w:rPr>
          <w:rFonts w:ascii="Arial" w:hAnsi="Arial" w:cs="Arial"/>
        </w:rPr>
      </w:pPr>
    </w:p>
    <w:p w:rsidR="00575EED" w:rsidRPr="00380308" w:rsidRDefault="00575EED" w:rsidP="00575EED">
      <w:pPr>
        <w:jc w:val="both"/>
        <w:rPr>
          <w:rFonts w:ascii="Arial" w:hAnsi="Arial" w:cs="Arial"/>
        </w:rPr>
      </w:pPr>
      <w:r w:rsidRPr="00380308">
        <w:rPr>
          <w:rFonts w:ascii="Arial" w:hAnsi="Arial" w:cs="Arial"/>
        </w:rPr>
        <w:t>Adresse :</w:t>
      </w:r>
    </w:p>
    <w:p w:rsidR="00C409DE" w:rsidRPr="00380308" w:rsidRDefault="00C409DE" w:rsidP="006D4BA4">
      <w:pPr>
        <w:jc w:val="both"/>
        <w:rPr>
          <w:rFonts w:ascii="Arial" w:hAnsi="Arial" w:cs="Arial"/>
        </w:rPr>
      </w:pPr>
    </w:p>
    <w:p w:rsidR="00575EED" w:rsidRPr="00380308" w:rsidRDefault="00575EED" w:rsidP="006D4BA4">
      <w:pPr>
        <w:jc w:val="both"/>
        <w:rPr>
          <w:rFonts w:ascii="Arial" w:hAnsi="Arial" w:cs="Arial"/>
        </w:rPr>
      </w:pPr>
    </w:p>
    <w:p w:rsidR="00575EED" w:rsidRPr="00380308" w:rsidRDefault="00575EED" w:rsidP="006D4BA4">
      <w:pPr>
        <w:jc w:val="both"/>
        <w:rPr>
          <w:rFonts w:ascii="Arial" w:hAnsi="Arial" w:cs="Arial"/>
        </w:rPr>
      </w:pPr>
    </w:p>
    <w:p w:rsidR="00575EED" w:rsidRPr="00380308" w:rsidRDefault="00575EED" w:rsidP="006D4BA4">
      <w:pPr>
        <w:jc w:val="both"/>
        <w:rPr>
          <w:rFonts w:ascii="Arial" w:hAnsi="Arial" w:cs="Arial"/>
        </w:rPr>
      </w:pPr>
    </w:p>
    <w:p w:rsidR="00575EED" w:rsidRDefault="00B83E2D" w:rsidP="006D4BA4">
      <w:pPr>
        <w:jc w:val="both"/>
        <w:rPr>
          <w:rFonts w:ascii="Arial" w:hAnsi="Arial" w:cs="Arial"/>
        </w:rPr>
      </w:pPr>
      <w:r w:rsidRPr="00380308">
        <w:rPr>
          <w:rFonts w:ascii="Arial" w:hAnsi="Arial" w:cs="Arial"/>
        </w:rPr>
        <w:t xml:space="preserve">Les éléments </w:t>
      </w:r>
      <w:r w:rsidR="00C00ABB" w:rsidRPr="00380308">
        <w:rPr>
          <w:rFonts w:ascii="Arial" w:hAnsi="Arial" w:cs="Arial"/>
        </w:rPr>
        <w:t>demandés dans ce document</w:t>
      </w:r>
      <w:r w:rsidRPr="00380308">
        <w:rPr>
          <w:rFonts w:ascii="Arial" w:hAnsi="Arial" w:cs="Arial"/>
        </w:rPr>
        <w:t xml:space="preserve"> concernent </w:t>
      </w:r>
      <w:r w:rsidR="00C00ABB" w:rsidRPr="00380308">
        <w:rPr>
          <w:rFonts w:ascii="Arial" w:hAnsi="Arial" w:cs="Arial"/>
        </w:rPr>
        <w:t>tous les locaux de l’officine y compris les lieux de stockage.</w:t>
      </w:r>
    </w:p>
    <w:p w:rsidR="00575EED" w:rsidRDefault="00575EED" w:rsidP="006D4BA4">
      <w:pPr>
        <w:jc w:val="both"/>
        <w:rPr>
          <w:rFonts w:ascii="Arial" w:hAnsi="Arial" w:cs="Arial"/>
        </w:rPr>
      </w:pPr>
    </w:p>
    <w:p w:rsidR="00575EED" w:rsidRDefault="00575EED" w:rsidP="006D4BA4">
      <w:pPr>
        <w:jc w:val="both"/>
        <w:rPr>
          <w:rFonts w:ascii="Arial" w:hAnsi="Arial" w:cs="Arial"/>
        </w:rPr>
      </w:pPr>
    </w:p>
    <w:p w:rsidR="0064701E" w:rsidRPr="006D4BA4" w:rsidRDefault="0064701E" w:rsidP="006D4BA4">
      <w:pPr>
        <w:jc w:val="both"/>
        <w:rPr>
          <w:rFonts w:ascii="Arial" w:hAnsi="Arial" w:cs="Arial"/>
          <w:b/>
        </w:rPr>
      </w:pPr>
      <w:r w:rsidRPr="006D4BA4">
        <w:rPr>
          <w:rFonts w:ascii="Arial" w:hAnsi="Arial" w:cs="Arial"/>
          <w:b/>
        </w:rPr>
        <w:lastRenderedPageBreak/>
        <w:t>En vertu des dispositions de l’article R. 5125-8</w:t>
      </w:r>
      <w:r w:rsidR="00C60B97">
        <w:rPr>
          <w:rFonts w:ascii="Arial" w:hAnsi="Arial" w:cs="Arial"/>
          <w:b/>
        </w:rPr>
        <w:t>-I</w:t>
      </w:r>
      <w:r w:rsidR="00BA1C66">
        <w:rPr>
          <w:rFonts w:ascii="Arial" w:hAnsi="Arial" w:cs="Arial"/>
          <w:b/>
        </w:rPr>
        <w:t xml:space="preserve"> du code de la santé publique </w:t>
      </w:r>
      <w:r w:rsidR="00BA1C66" w:rsidRPr="00BA1C66">
        <w:rPr>
          <w:rFonts w:ascii="Arial" w:hAnsi="Arial" w:cs="Arial"/>
          <w:b/>
        </w:rPr>
        <w:t>(CSP ci-après)</w:t>
      </w:r>
      <w:r w:rsidR="00BA1C66">
        <w:rPr>
          <w:rFonts w:ascii="Arial" w:hAnsi="Arial" w:cs="Arial"/>
          <w:b/>
        </w:rPr>
        <w:t xml:space="preserve"> </w:t>
      </w:r>
      <w:r w:rsidRPr="006D4BA4">
        <w:rPr>
          <w:rFonts w:ascii="Arial" w:hAnsi="Arial" w:cs="Arial"/>
          <w:b/>
        </w:rPr>
        <w:t>:</w:t>
      </w:r>
    </w:p>
    <w:p w:rsidR="00D01371" w:rsidRPr="006D4BA4" w:rsidRDefault="00D01371" w:rsidP="006D4BA4">
      <w:pPr>
        <w:jc w:val="both"/>
        <w:rPr>
          <w:rFonts w:ascii="Arial" w:hAnsi="Arial" w:cs="Arial"/>
        </w:rPr>
      </w:pPr>
    </w:p>
    <w:p w:rsidR="00D01371" w:rsidRPr="00D01371" w:rsidRDefault="00D01371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Détailler </w:t>
      </w:r>
      <w:r w:rsidRPr="006D4BA4">
        <w:rPr>
          <w:rFonts w:ascii="Arial" w:hAnsi="Arial" w:cs="Arial"/>
        </w:rPr>
        <w:t xml:space="preserve">la superficie, l'aménagement, l'agencement et l'équipement des locaux d'une officine de pharmacie </w:t>
      </w:r>
      <w:r w:rsidR="00B83E2D">
        <w:rPr>
          <w:rFonts w:ascii="Arial" w:hAnsi="Arial" w:cs="Arial"/>
        </w:rPr>
        <w:t xml:space="preserve">qui doivent être </w:t>
      </w:r>
      <w:r w:rsidRPr="006D4BA4">
        <w:rPr>
          <w:rFonts w:ascii="Arial" w:hAnsi="Arial" w:cs="Arial"/>
        </w:rPr>
        <w:t>adaptés à ses activités et permettent le respect des bonnes pratiques</w:t>
      </w:r>
      <w:r w:rsidR="00B83E2D">
        <w:rPr>
          <w:rFonts w:ascii="Arial" w:hAnsi="Arial" w:cs="Arial"/>
        </w:rPr>
        <w:t xml:space="preserve"> </w:t>
      </w:r>
    </w:p>
    <w:p w:rsidR="00D01371" w:rsidRPr="006D4BA4" w:rsidRDefault="00D01371" w:rsidP="006D4BA4">
      <w:pPr>
        <w:pStyle w:val="Paragraphedeliste"/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D01371" w:rsidRPr="00D01371" w:rsidRDefault="00D01371" w:rsidP="006D4BA4">
      <w:pPr>
        <w:pStyle w:val="Paragraphedeliste"/>
        <w:jc w:val="both"/>
        <w:rPr>
          <w:rFonts w:ascii="Arial" w:hAnsi="Arial" w:cs="Arial"/>
        </w:rPr>
      </w:pPr>
    </w:p>
    <w:p w:rsidR="00D01371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les c</w:t>
      </w:r>
      <w:r w:rsidRPr="006D4BA4">
        <w:rPr>
          <w:rFonts w:ascii="Arial" w:hAnsi="Arial" w:cs="Arial"/>
        </w:rPr>
        <w:t>onditions d’accessibilité et de circulation des PMR</w:t>
      </w:r>
      <w:r>
        <w:rPr>
          <w:rFonts w:ascii="Arial" w:hAnsi="Arial" w:cs="Arial"/>
        </w:rPr>
        <w:t xml:space="preserve"> aux locaux</w:t>
      </w:r>
      <w:r w:rsidRPr="006D4BA4">
        <w:rPr>
          <w:rFonts w:ascii="Arial" w:hAnsi="Arial" w:cs="Arial"/>
        </w:rPr>
        <w:t xml:space="preserve"> :</w:t>
      </w: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Pr="006D4BA4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D4BA4">
        <w:rPr>
          <w:rFonts w:ascii="Arial" w:hAnsi="Arial" w:cs="Arial"/>
        </w:rPr>
        <w:t>Les locaux de l'officine forment un ensemble d'un seul tenant y compris pour ce qui concerne les activités spécialisées d'optique-lunetterie, d'audioprothèse et d'orthopédie.</w:t>
      </w: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Pr="006D4BA4" w:rsidRDefault="00E418F0" w:rsidP="006D4BA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8723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>
            <w:rPr>
              <w:rFonts w:ascii="MS Gothic" w:eastAsia="MS Gothic" w:hAnsi="MS Gothic" w:cs="Arial" w:hint="eastAsia"/>
            </w:rPr>
            <w:t>☐</w:t>
          </w:r>
        </w:sdtContent>
      </w:sdt>
      <w:r w:rsidR="006D4BA4">
        <w:rPr>
          <w:rFonts w:ascii="Arial" w:hAnsi="Arial" w:cs="Arial"/>
        </w:rPr>
        <w:t>Oui</w:t>
      </w:r>
      <w:r w:rsidR="006D4BA4">
        <w:rPr>
          <w:rFonts w:ascii="Arial" w:hAnsi="Arial" w:cs="Arial"/>
        </w:rPr>
        <w:tab/>
      </w:r>
      <w:r w:rsidR="006D4BA4">
        <w:rPr>
          <w:rFonts w:ascii="Arial" w:hAnsi="Arial" w:cs="Arial"/>
        </w:rPr>
        <w:tab/>
      </w:r>
      <w:r w:rsidR="006D4BA4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26836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Arial" w:hAnsi="Arial" w:cs="Arial" w:hint="eastAsia"/>
            </w:rPr>
            <w:t>☐</w:t>
          </w:r>
        </w:sdtContent>
      </w:sdt>
      <w:r w:rsidR="006D4BA4">
        <w:rPr>
          <w:rFonts w:ascii="Arial" w:hAnsi="Arial" w:cs="Arial"/>
        </w:rPr>
        <w:t>Non</w:t>
      </w: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D4BA4">
        <w:rPr>
          <w:rFonts w:ascii="Arial" w:hAnsi="Arial" w:cs="Arial"/>
        </w:rPr>
        <w:t>Aucune communication directe n'existe entre l'officine et un autre local professionnel ou commercial.</w:t>
      </w: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Pr="006D4BA4" w:rsidRDefault="00E418F0" w:rsidP="006D4BA4">
      <w:pPr>
        <w:ind w:left="709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1322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Arial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Oui</w:t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  <w:t xml:space="preserve">  </w:t>
      </w:r>
      <w:sdt>
        <w:sdtPr>
          <w:rPr>
            <w:rFonts w:ascii="MS Gothic" w:eastAsia="MS Gothic" w:hAnsi="MS Gothic" w:cs="MS Gothic"/>
          </w:rPr>
          <w:id w:val="-65468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MS Gothic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Non</w:t>
      </w: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Pr="006D4BA4" w:rsidRDefault="006D4BA4" w:rsidP="006D4BA4">
      <w:pPr>
        <w:jc w:val="both"/>
        <w:rPr>
          <w:rFonts w:ascii="Arial" w:hAnsi="Arial" w:cs="Arial"/>
        </w:rPr>
      </w:pPr>
    </w:p>
    <w:p w:rsidR="006D4BA4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D4BA4">
        <w:rPr>
          <w:rFonts w:ascii="Arial" w:hAnsi="Arial" w:cs="Arial"/>
        </w:rPr>
        <w:t>Le mobilier pharmaceutique est disposé de telle sorte que le public n'ait directement accès ni aux médicaments, ni aux autres produits dont la vente est réservée aux officines.</w:t>
      </w:r>
    </w:p>
    <w:p w:rsidR="006D4BA4" w:rsidRDefault="006D4BA4" w:rsidP="006D4BA4">
      <w:pPr>
        <w:jc w:val="both"/>
        <w:rPr>
          <w:rFonts w:ascii="Arial" w:hAnsi="Arial" w:cs="Arial"/>
        </w:rPr>
      </w:pPr>
    </w:p>
    <w:p w:rsidR="006D4BA4" w:rsidRDefault="00E418F0" w:rsidP="006D4BA4">
      <w:pPr>
        <w:ind w:left="709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878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Arial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Oui</w:t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  <w:t xml:space="preserve">  </w:t>
      </w:r>
      <w:sdt>
        <w:sdtPr>
          <w:rPr>
            <w:rFonts w:ascii="MS Gothic" w:eastAsia="MS Gothic" w:hAnsi="MS Gothic" w:cs="MS Gothic"/>
          </w:rPr>
          <w:id w:val="74723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MS Gothic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Non</w:t>
      </w:r>
    </w:p>
    <w:p w:rsidR="006D4BA4" w:rsidRPr="006D4BA4" w:rsidRDefault="006D4BA4" w:rsidP="006D4BA4">
      <w:pPr>
        <w:ind w:left="709"/>
        <w:jc w:val="both"/>
        <w:rPr>
          <w:rFonts w:ascii="Arial" w:hAnsi="Arial" w:cs="Arial"/>
        </w:rPr>
      </w:pPr>
    </w:p>
    <w:p w:rsidR="006D4BA4" w:rsidRDefault="006D4BA4" w:rsidP="00380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380308" w:rsidRDefault="00380308" w:rsidP="00380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6D4BA4" w:rsidRPr="006D4BA4" w:rsidRDefault="006D4BA4" w:rsidP="00380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D01371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D4BA4">
        <w:rPr>
          <w:rFonts w:ascii="Arial" w:hAnsi="Arial" w:cs="Arial"/>
        </w:rPr>
        <w:lastRenderedPageBreak/>
        <w:t xml:space="preserve">Les médicaments de médication officinale mentionnés à l'article </w:t>
      </w:r>
      <w:hyperlink r:id="rId8" w:history="1">
        <w:r w:rsidRPr="006D4BA4">
          <w:rPr>
            <w:rFonts w:ascii="Arial" w:hAnsi="Arial" w:cs="Arial"/>
          </w:rPr>
          <w:t>R. 5121-202</w:t>
        </w:r>
      </w:hyperlink>
      <w:r w:rsidR="00BA1C66">
        <w:rPr>
          <w:rFonts w:ascii="Arial" w:hAnsi="Arial" w:cs="Arial"/>
        </w:rPr>
        <w:t xml:space="preserve"> CSP</w:t>
      </w:r>
      <w:r w:rsidRPr="006D4BA4">
        <w:rPr>
          <w:rFonts w:ascii="Arial" w:hAnsi="Arial" w:cs="Arial"/>
        </w:rPr>
        <w:t xml:space="preserve"> peuvent être présentés au public en accès direct dans les conditions prévues à l'article </w:t>
      </w:r>
      <w:hyperlink r:id="rId9" w:history="1">
        <w:r w:rsidRPr="006D4BA4">
          <w:rPr>
            <w:rFonts w:ascii="Arial" w:hAnsi="Arial" w:cs="Arial"/>
          </w:rPr>
          <w:t>R. 4235-55</w:t>
        </w:r>
      </w:hyperlink>
      <w:r w:rsidR="00BA1C66">
        <w:rPr>
          <w:rFonts w:ascii="Arial" w:hAnsi="Arial" w:cs="Arial"/>
        </w:rPr>
        <w:t xml:space="preserve"> CSP</w:t>
      </w:r>
      <w:r w:rsidRPr="006D4BA4">
        <w:rPr>
          <w:rFonts w:ascii="Arial" w:hAnsi="Arial" w:cs="Arial"/>
        </w:rPr>
        <w:t>. Les tests de grossesse et les tests d'ovulation peuvent également être présentés au public en accès direct, dans les mêmes conditions.</w:t>
      </w: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Pr="006D4BA4" w:rsidRDefault="00E418F0" w:rsidP="006D4BA4">
      <w:pPr>
        <w:ind w:left="709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66411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Arial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Oui</w:t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  <w:t xml:space="preserve">  </w:t>
      </w:r>
      <w:sdt>
        <w:sdtPr>
          <w:rPr>
            <w:rFonts w:ascii="MS Gothic" w:eastAsia="MS Gothic" w:hAnsi="MS Gothic" w:cs="MS Gothic"/>
          </w:rPr>
          <w:id w:val="-167988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MS Gothic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Non</w:t>
      </w: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P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D4BA4">
        <w:rPr>
          <w:rFonts w:ascii="Arial" w:hAnsi="Arial" w:cs="Arial"/>
        </w:rPr>
        <w:t>Lorsque des livraisons sont envisagées en dehors des heures d'ouverture, l'officine est aménagée de façon à permettre l'isolement des médicaments et autres produits livrés.</w:t>
      </w:r>
    </w:p>
    <w:p w:rsidR="006D4BA4" w:rsidRDefault="006D4BA4" w:rsidP="006D4BA4">
      <w:pPr>
        <w:jc w:val="both"/>
        <w:rPr>
          <w:rFonts w:ascii="Arial" w:hAnsi="Arial" w:cs="Arial"/>
        </w:rPr>
      </w:pPr>
    </w:p>
    <w:p w:rsidR="006D4BA4" w:rsidRPr="006D4BA4" w:rsidRDefault="00E418F0" w:rsidP="006D4BA4">
      <w:pPr>
        <w:ind w:left="709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46573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39F">
            <w:rPr>
              <w:rFonts w:ascii="MS Gothic" w:eastAsia="MS Gothic" w:hAnsi="MS Gothic" w:cs="Arial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Oui</w:t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</w:r>
      <w:r w:rsidR="006D4BA4" w:rsidRPr="006D4BA4">
        <w:rPr>
          <w:rFonts w:ascii="Arial" w:hAnsi="Arial" w:cs="Arial"/>
        </w:rPr>
        <w:tab/>
        <w:t xml:space="preserve">  </w:t>
      </w:r>
      <w:sdt>
        <w:sdtPr>
          <w:rPr>
            <w:rFonts w:ascii="MS Gothic" w:eastAsia="MS Gothic" w:hAnsi="MS Gothic" w:cs="MS Gothic"/>
          </w:rPr>
          <w:id w:val="-22184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A4" w:rsidRPr="006D4BA4">
            <w:rPr>
              <w:rFonts w:ascii="MS Gothic" w:eastAsia="MS Gothic" w:hAnsi="MS Gothic" w:cs="MS Gothic" w:hint="eastAsia"/>
            </w:rPr>
            <w:t>☐</w:t>
          </w:r>
        </w:sdtContent>
      </w:sdt>
      <w:r w:rsidR="006D4BA4" w:rsidRPr="006D4BA4">
        <w:rPr>
          <w:rFonts w:ascii="Arial" w:hAnsi="Arial" w:cs="Arial"/>
        </w:rPr>
        <w:t>Non</w:t>
      </w:r>
    </w:p>
    <w:p w:rsidR="006D4BA4" w:rsidRDefault="006D4BA4" w:rsidP="006D4BA4">
      <w:pPr>
        <w:ind w:left="709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A1C66" w:rsidRDefault="00BA1C66" w:rsidP="00BA1C66">
      <w:pPr>
        <w:pStyle w:val="Paragraphedeliste"/>
        <w:jc w:val="both"/>
        <w:rPr>
          <w:rFonts w:ascii="Arial" w:hAnsi="Arial" w:cs="Arial"/>
        </w:rPr>
      </w:pPr>
    </w:p>
    <w:p w:rsidR="00BA1C66" w:rsidRDefault="00BA1C66" w:rsidP="00BA1C66">
      <w:pPr>
        <w:pStyle w:val="Paragraphedeliste"/>
        <w:jc w:val="both"/>
        <w:rPr>
          <w:rFonts w:ascii="Arial" w:hAnsi="Arial" w:cs="Arial"/>
        </w:rPr>
      </w:pPr>
    </w:p>
    <w:p w:rsidR="00BA1C66" w:rsidRDefault="00BA1C66" w:rsidP="00BA1C66">
      <w:pPr>
        <w:pStyle w:val="Paragraphedeliste"/>
        <w:ind w:left="0"/>
        <w:jc w:val="both"/>
        <w:rPr>
          <w:rFonts w:ascii="Arial" w:hAnsi="Arial" w:cs="Arial"/>
          <w:b/>
          <w:i/>
        </w:rPr>
      </w:pPr>
      <w:r w:rsidRPr="006D4BA4">
        <w:rPr>
          <w:rFonts w:ascii="Arial" w:hAnsi="Arial" w:cs="Arial"/>
          <w:b/>
        </w:rPr>
        <w:t xml:space="preserve">En vertu des dispositions de </w:t>
      </w:r>
      <w:r w:rsidRPr="00C60B97">
        <w:rPr>
          <w:rFonts w:ascii="Arial" w:hAnsi="Arial" w:cs="Arial"/>
          <w:b/>
        </w:rPr>
        <w:t xml:space="preserve">l’article </w:t>
      </w:r>
      <w:r w:rsidR="00C60B97">
        <w:rPr>
          <w:rFonts w:ascii="Arial" w:hAnsi="Arial" w:cs="Arial"/>
          <w:b/>
        </w:rPr>
        <w:t>R. 5125-9-I du CSP</w:t>
      </w:r>
      <w:r w:rsidRPr="00C60B97">
        <w:rPr>
          <w:rFonts w:ascii="Arial" w:hAnsi="Arial" w:cs="Arial"/>
          <w:b/>
        </w:rPr>
        <w:t> : L'officine comporte, dans la partie accessible au public :</w:t>
      </w:r>
    </w:p>
    <w:p w:rsidR="00BA1C66" w:rsidRDefault="00BA1C66" w:rsidP="00BA1C66">
      <w:pPr>
        <w:pStyle w:val="Paragraphedeliste"/>
        <w:ind w:left="0"/>
        <w:jc w:val="both"/>
        <w:rPr>
          <w:rFonts w:ascii="Arial" w:hAnsi="Arial" w:cs="Arial"/>
        </w:rPr>
      </w:pPr>
    </w:p>
    <w:p w:rsidR="00BA1C66" w:rsidRDefault="00BA1C66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Détailler les espaces de confidentialité. Pour </w:t>
      </w:r>
      <w:r w:rsidRPr="00C60B97">
        <w:rPr>
          <w:rFonts w:ascii="Arial" w:hAnsi="Arial" w:cs="Arial"/>
        </w:rPr>
        <w:t>les activités spécialisées d'optique-lunetterie, d'audioprothèse et d'orthopédie, un rayon individualisé et, le cas échéant, un espace permettant au patient d'essayer le produit dans des conditions répondant aux dispositions du CSP doit être prévu.</w:t>
      </w:r>
    </w:p>
    <w:p w:rsidR="00C60B97" w:rsidRDefault="00C60B97" w:rsidP="00C60B97">
      <w:pP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A1C66" w:rsidRPr="00C60B97" w:rsidRDefault="00BA1C66" w:rsidP="00C60B97">
      <w:pPr>
        <w:jc w:val="both"/>
        <w:rPr>
          <w:rFonts w:ascii="Arial" w:hAnsi="Arial" w:cs="Arial"/>
        </w:rPr>
      </w:pPr>
    </w:p>
    <w:p w:rsidR="00BA1C66" w:rsidRPr="00C60B97" w:rsidRDefault="00BA1C66" w:rsidP="00BA1C66">
      <w:pPr>
        <w:pStyle w:val="Paragraphedeliste"/>
        <w:ind w:left="0"/>
        <w:jc w:val="both"/>
        <w:rPr>
          <w:rFonts w:ascii="Arial" w:hAnsi="Arial" w:cs="Arial"/>
          <w:b/>
        </w:rPr>
      </w:pPr>
      <w:r w:rsidRPr="006D4BA4">
        <w:rPr>
          <w:rFonts w:ascii="Arial" w:hAnsi="Arial" w:cs="Arial"/>
          <w:b/>
        </w:rPr>
        <w:t xml:space="preserve">En vertu des dispositions de </w:t>
      </w:r>
      <w:r w:rsidRPr="00C60B97">
        <w:rPr>
          <w:rFonts w:ascii="Arial" w:hAnsi="Arial" w:cs="Arial"/>
          <w:b/>
        </w:rPr>
        <w:t xml:space="preserve">l’article </w:t>
      </w:r>
      <w:r w:rsidR="00C60B97">
        <w:rPr>
          <w:rFonts w:ascii="Arial" w:hAnsi="Arial" w:cs="Arial"/>
          <w:b/>
        </w:rPr>
        <w:t>R. 5125-9-II du CSP</w:t>
      </w:r>
      <w:r w:rsidRPr="00C60B97">
        <w:rPr>
          <w:rFonts w:ascii="Arial" w:hAnsi="Arial" w:cs="Arial"/>
          <w:b/>
        </w:rPr>
        <w:t> : L'officine comporte, dans la partie non accessible au public :</w:t>
      </w:r>
    </w:p>
    <w:p w:rsidR="00BA1C66" w:rsidRDefault="00BA1C66" w:rsidP="00BA1C66">
      <w:pPr>
        <w:pStyle w:val="Paragraphedeliste"/>
        <w:jc w:val="both"/>
        <w:rPr>
          <w:rFonts w:ascii="Arial" w:hAnsi="Arial" w:cs="Arial"/>
        </w:rPr>
      </w:pPr>
    </w:p>
    <w:p w:rsidR="00BA1C66" w:rsidRDefault="00BA1C66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le préparatoire</w:t>
      </w:r>
    </w:p>
    <w:p w:rsidR="00C60B97" w:rsidRDefault="00C60B97" w:rsidP="00C60B97">
      <w:pP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jc w:val="both"/>
        <w:rPr>
          <w:rFonts w:ascii="Arial" w:hAnsi="Arial" w:cs="Arial"/>
        </w:rPr>
      </w:pPr>
    </w:p>
    <w:p w:rsidR="00380308" w:rsidRDefault="00380308" w:rsidP="00C60B97">
      <w:pPr>
        <w:jc w:val="both"/>
        <w:rPr>
          <w:rFonts w:ascii="Arial" w:hAnsi="Arial" w:cs="Arial"/>
        </w:rPr>
      </w:pPr>
    </w:p>
    <w:p w:rsidR="00380308" w:rsidRDefault="00380308" w:rsidP="00C60B97">
      <w:pPr>
        <w:jc w:val="both"/>
        <w:rPr>
          <w:rFonts w:ascii="Arial" w:hAnsi="Arial" w:cs="Arial"/>
        </w:rPr>
      </w:pPr>
    </w:p>
    <w:p w:rsidR="00380308" w:rsidRPr="00C60B97" w:rsidRDefault="00380308" w:rsidP="00C60B97">
      <w:pPr>
        <w:jc w:val="both"/>
        <w:rPr>
          <w:rFonts w:ascii="Arial" w:hAnsi="Arial" w:cs="Arial"/>
        </w:rPr>
      </w:pPr>
    </w:p>
    <w:p w:rsidR="00BA1C66" w:rsidRDefault="00BA1C66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Décrire le lieu de stockage des stupéfiants</w:t>
      </w:r>
    </w:p>
    <w:p w:rsidR="00C60B97" w:rsidRDefault="00C60B97" w:rsidP="00C60B97">
      <w:pP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Pr="00C60B97" w:rsidRDefault="00C60B97" w:rsidP="00C60B97">
      <w:pPr>
        <w:jc w:val="both"/>
        <w:rPr>
          <w:rFonts w:ascii="Arial" w:hAnsi="Arial" w:cs="Arial"/>
        </w:rPr>
      </w:pPr>
    </w:p>
    <w:p w:rsidR="00BA1C66" w:rsidRDefault="00BA1C66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l’emplacement des médicaments non utilisés</w:t>
      </w:r>
    </w:p>
    <w:p w:rsidR="00C60B97" w:rsidRDefault="00C60B97" w:rsidP="00C60B97">
      <w:pP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Pr="00C60B97" w:rsidRDefault="00C60B97" w:rsidP="00C60B97">
      <w:pPr>
        <w:jc w:val="both"/>
        <w:rPr>
          <w:rFonts w:ascii="Arial" w:hAnsi="Arial" w:cs="Arial"/>
        </w:rPr>
      </w:pPr>
    </w:p>
    <w:p w:rsidR="00BA1C66" w:rsidRDefault="00BA1C66" w:rsidP="00BA1C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l’emplacement des DASRI</w:t>
      </w: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BA1C66" w:rsidRDefault="00BA1C66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Décrire, le cas échéant la zone ou le local dédié à l’activité de commerce électronique de médicaments</w:t>
      </w: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BA1C66" w:rsidRDefault="00BA1C66" w:rsidP="00BA1C6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Décrire le lieu de stockage des gaz </w:t>
      </w:r>
      <w:r w:rsidRPr="00BA1C66">
        <w:rPr>
          <w:rFonts w:ascii="Arial" w:hAnsi="Arial" w:cs="Arial"/>
        </w:rPr>
        <w:t>à usage médical et les liquides inflammables</w:t>
      </w:r>
    </w:p>
    <w:p w:rsidR="0077293D" w:rsidRDefault="0077293D" w:rsidP="0077293D">
      <w:pPr>
        <w:pStyle w:val="Paragraphedeliste"/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77293D">
      <w:pPr>
        <w:pStyle w:val="Paragraphedeliste"/>
        <w:jc w:val="both"/>
        <w:rPr>
          <w:rFonts w:ascii="Arial" w:hAnsi="Arial" w:cs="Arial"/>
        </w:rPr>
      </w:pPr>
    </w:p>
    <w:p w:rsidR="00380308" w:rsidRPr="00380308" w:rsidRDefault="00380308" w:rsidP="00380308">
      <w:pPr>
        <w:jc w:val="both"/>
        <w:rPr>
          <w:rFonts w:ascii="Arial" w:hAnsi="Arial" w:cs="Arial"/>
        </w:rPr>
      </w:pPr>
    </w:p>
    <w:p w:rsidR="0077293D" w:rsidRPr="00C60B97" w:rsidRDefault="0077293D" w:rsidP="0077293D">
      <w:pPr>
        <w:pStyle w:val="Paragraphedeliste"/>
        <w:ind w:left="0"/>
        <w:jc w:val="both"/>
        <w:rPr>
          <w:rFonts w:ascii="Arial" w:hAnsi="Arial" w:cs="Arial"/>
          <w:b/>
        </w:rPr>
      </w:pPr>
      <w:r w:rsidRPr="006D4BA4">
        <w:rPr>
          <w:rFonts w:ascii="Arial" w:hAnsi="Arial" w:cs="Arial"/>
          <w:b/>
        </w:rPr>
        <w:t xml:space="preserve">En vertu des dispositions de </w:t>
      </w:r>
      <w:r w:rsidRPr="00C60B97">
        <w:rPr>
          <w:rFonts w:ascii="Arial" w:hAnsi="Arial" w:cs="Arial"/>
          <w:b/>
        </w:rPr>
        <w:t>l’article R. 5125-33-6 et R. 5125-33-7</w:t>
      </w:r>
      <w:r w:rsidR="00C60B97">
        <w:rPr>
          <w:rFonts w:ascii="Arial" w:hAnsi="Arial" w:cs="Arial"/>
          <w:b/>
        </w:rPr>
        <w:t xml:space="preserve"> du CSP</w:t>
      </w:r>
      <w:r w:rsidRPr="00C60B97">
        <w:rPr>
          <w:rFonts w:ascii="Arial" w:hAnsi="Arial" w:cs="Arial"/>
          <w:b/>
        </w:rPr>
        <w:t> : Conseils et prestations pouvant être proposés par les pharmaciens d'officine dans le but de favoriser l'amélioration ou le maintien de l'état de santé des personnes</w:t>
      </w:r>
    </w:p>
    <w:p w:rsidR="0077293D" w:rsidRPr="00C60B97" w:rsidRDefault="0077293D" w:rsidP="00C60B97">
      <w:pPr>
        <w:pStyle w:val="Paragraphedeliste"/>
        <w:ind w:left="0"/>
        <w:jc w:val="both"/>
        <w:rPr>
          <w:rFonts w:ascii="Arial" w:hAnsi="Arial" w:cs="Arial"/>
          <w:b/>
          <w:i/>
        </w:rPr>
      </w:pPr>
      <w:r w:rsidRPr="00475BC5">
        <w:rPr>
          <w:rFonts w:ascii="Arial" w:hAnsi="Arial" w:cs="Arial"/>
          <w:b/>
          <w:i/>
        </w:rPr>
        <w:t xml:space="preserve"> </w:t>
      </w:r>
    </w:p>
    <w:p w:rsidR="0077293D" w:rsidRPr="00C60B97" w:rsidRDefault="0077293D" w:rsidP="0077293D">
      <w:pPr>
        <w:pStyle w:val="Paragraphedeliste"/>
        <w:numPr>
          <w:ilvl w:val="0"/>
          <w:numId w:val="1"/>
        </w:numPr>
        <w:jc w:val="both"/>
      </w:pPr>
      <w:r w:rsidRPr="00C60B97">
        <w:rPr>
          <w:rFonts w:ascii="Arial" w:hAnsi="Arial" w:cs="Arial"/>
        </w:rPr>
        <w:t xml:space="preserve">Les locaux de la nouvelle officine permettent la réalisation des missions prévues à l'article </w:t>
      </w:r>
      <w:hyperlink r:id="rId10" w:history="1">
        <w:r w:rsidRPr="00C60B97">
          <w:rPr>
            <w:rFonts w:ascii="Arial" w:hAnsi="Arial" w:cs="Arial"/>
          </w:rPr>
          <w:t>L. 5125-1-1 A</w:t>
        </w:r>
      </w:hyperlink>
      <w:r w:rsidR="00C60B97">
        <w:rPr>
          <w:rStyle w:val="Appelnotedebasdep"/>
          <w:rFonts w:ascii="Arial" w:hAnsi="Arial" w:cs="Arial"/>
        </w:rPr>
        <w:footnoteReference w:id="1"/>
      </w:r>
      <w:r w:rsidR="00C60B97">
        <w:rPr>
          <w:rFonts w:ascii="Arial" w:hAnsi="Arial" w:cs="Arial"/>
        </w:rPr>
        <w:t xml:space="preserve"> du CSP</w:t>
      </w:r>
    </w:p>
    <w:p w:rsidR="0077293D" w:rsidRPr="00C60B97" w:rsidRDefault="0077293D" w:rsidP="0077293D">
      <w:pPr>
        <w:pStyle w:val="Paragraphedeliste"/>
        <w:jc w:val="both"/>
        <w:rPr>
          <w:rFonts w:ascii="Arial" w:hAnsi="Arial" w:cs="Arial"/>
        </w:rPr>
      </w:pPr>
    </w:p>
    <w:p w:rsidR="0077293D" w:rsidRPr="006D4BA4" w:rsidRDefault="00E418F0" w:rsidP="0077293D">
      <w:pPr>
        <w:ind w:left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277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39F">
            <w:rPr>
              <w:rFonts w:ascii="MS Gothic" w:eastAsia="MS Gothic" w:hAnsi="MS Gothic" w:cs="Arial" w:hint="eastAsia"/>
            </w:rPr>
            <w:t>☐</w:t>
          </w:r>
        </w:sdtContent>
      </w:sdt>
      <w:r w:rsidR="0077293D" w:rsidRPr="006D4BA4">
        <w:rPr>
          <w:rFonts w:ascii="Arial" w:hAnsi="Arial" w:cs="Arial"/>
        </w:rPr>
        <w:t>Oui</w:t>
      </w:r>
      <w:r w:rsidR="0077293D" w:rsidRPr="006D4BA4">
        <w:rPr>
          <w:rFonts w:ascii="Arial" w:hAnsi="Arial" w:cs="Arial"/>
        </w:rPr>
        <w:tab/>
      </w:r>
      <w:r w:rsidR="0077293D" w:rsidRPr="006D4BA4">
        <w:rPr>
          <w:rFonts w:ascii="Arial" w:hAnsi="Arial" w:cs="Arial"/>
        </w:rPr>
        <w:tab/>
      </w:r>
      <w:r w:rsidR="0077293D" w:rsidRPr="006D4BA4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138443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93D" w:rsidRPr="00C60B97">
            <w:rPr>
              <w:rFonts w:ascii="Arial" w:hAnsi="Arial" w:cs="Arial" w:hint="eastAsia"/>
            </w:rPr>
            <w:t>☐</w:t>
          </w:r>
        </w:sdtContent>
      </w:sdt>
      <w:r w:rsidR="0077293D" w:rsidRPr="006D4BA4">
        <w:rPr>
          <w:rFonts w:ascii="Arial" w:hAnsi="Arial" w:cs="Arial"/>
        </w:rPr>
        <w:t>Non</w:t>
      </w:r>
    </w:p>
    <w:p w:rsidR="0077293D" w:rsidRDefault="0077293D" w:rsidP="0077293D">
      <w:pPr>
        <w:ind w:left="709"/>
        <w:jc w:val="both"/>
        <w:rPr>
          <w:rFonts w:ascii="Arial" w:hAnsi="Arial" w:cs="Arial"/>
        </w:rPr>
      </w:pPr>
    </w:p>
    <w:p w:rsidR="0077293D" w:rsidRDefault="0077293D" w:rsidP="00772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7293D" w:rsidRDefault="0077293D" w:rsidP="00772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7293D" w:rsidRDefault="0077293D" w:rsidP="00772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7293D" w:rsidRDefault="0077293D" w:rsidP="0077293D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77293D" w:rsidRDefault="0077293D" w:rsidP="0077293D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C60B97" w:rsidRDefault="00C60B97" w:rsidP="0077293D">
      <w:pPr>
        <w:pStyle w:val="Paragraphedeliste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vertu de diverses dispositions du CSP </w:t>
      </w:r>
    </w:p>
    <w:p w:rsidR="0077293D" w:rsidRPr="00C60B97" w:rsidRDefault="0077293D" w:rsidP="00C60B97">
      <w:pPr>
        <w:pStyle w:val="Paragraphedeliste"/>
        <w:ind w:left="0"/>
        <w:jc w:val="both"/>
        <w:rPr>
          <w:rFonts w:ascii="Arial" w:hAnsi="Arial" w:cs="Arial"/>
          <w:b/>
          <w:i/>
        </w:rPr>
      </w:pPr>
      <w:r w:rsidRPr="006D4BA4">
        <w:rPr>
          <w:rFonts w:ascii="Arial" w:hAnsi="Arial" w:cs="Arial"/>
          <w:b/>
        </w:rPr>
        <w:t xml:space="preserve"> </w:t>
      </w:r>
    </w:p>
    <w:p w:rsidR="00BA1C66" w:rsidRDefault="00C60B97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60B97">
        <w:rPr>
          <w:rFonts w:ascii="Arial" w:hAnsi="Arial" w:cs="Arial"/>
        </w:rPr>
        <w:t>Les locaux de la nouvelle officine […] garantissent un accès permanent du public en vue d'assurer un</w:t>
      </w:r>
      <w:r>
        <w:rPr>
          <w:rFonts w:ascii="Arial" w:hAnsi="Arial" w:cs="Arial"/>
        </w:rPr>
        <w:t xml:space="preserve"> service de garde et d'urgence conformément à article </w:t>
      </w:r>
      <w:hyperlink r:id="rId11" w:history="1">
        <w:r w:rsidRPr="00C60B97">
          <w:rPr>
            <w:rFonts w:ascii="Arial" w:hAnsi="Arial" w:cs="Arial"/>
          </w:rPr>
          <w:t>L. 5125-3-2</w:t>
        </w:r>
      </w:hyperlink>
      <w:r>
        <w:rPr>
          <w:rFonts w:ascii="Arial" w:hAnsi="Arial" w:cs="Arial"/>
        </w:rPr>
        <w:t xml:space="preserve"> du CSP</w:t>
      </w: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C60B97" w:rsidRPr="006D4BA4" w:rsidRDefault="00E418F0" w:rsidP="00C60B97">
      <w:pPr>
        <w:ind w:left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021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267">
            <w:rPr>
              <w:rFonts w:ascii="MS Gothic" w:eastAsia="MS Gothic" w:hAnsi="MS Gothic" w:cs="Arial" w:hint="eastAsia"/>
            </w:rPr>
            <w:t>☐</w:t>
          </w:r>
        </w:sdtContent>
      </w:sdt>
      <w:r w:rsidR="00C60B97" w:rsidRPr="006D4BA4">
        <w:rPr>
          <w:rFonts w:ascii="Arial" w:hAnsi="Arial" w:cs="Arial"/>
        </w:rPr>
        <w:t>Oui</w:t>
      </w:r>
      <w:r w:rsidR="00C60B97" w:rsidRPr="006D4BA4">
        <w:rPr>
          <w:rFonts w:ascii="Arial" w:hAnsi="Arial" w:cs="Arial"/>
        </w:rPr>
        <w:tab/>
      </w:r>
      <w:r w:rsidR="00C60B97" w:rsidRPr="006D4BA4">
        <w:rPr>
          <w:rFonts w:ascii="Arial" w:hAnsi="Arial" w:cs="Arial"/>
        </w:rPr>
        <w:tab/>
      </w:r>
      <w:r w:rsidR="00C60B97" w:rsidRPr="006D4BA4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-51600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B97" w:rsidRPr="00C60B97">
            <w:rPr>
              <w:rFonts w:ascii="Arial" w:hAnsi="Arial" w:cs="Arial" w:hint="eastAsia"/>
            </w:rPr>
            <w:t>☐</w:t>
          </w:r>
        </w:sdtContent>
      </w:sdt>
      <w:r w:rsidR="00C60B97" w:rsidRPr="006D4BA4">
        <w:rPr>
          <w:rFonts w:ascii="Arial" w:hAnsi="Arial" w:cs="Arial"/>
        </w:rPr>
        <w:t>Non</w:t>
      </w:r>
    </w:p>
    <w:p w:rsidR="00C60B97" w:rsidRDefault="00C60B97" w:rsidP="00C60B97">
      <w:pPr>
        <w:ind w:left="709"/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P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C60B97" w:rsidRDefault="00C60B97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les c</w:t>
      </w:r>
      <w:r w:rsidRPr="00C60B97">
        <w:rPr>
          <w:rFonts w:ascii="Arial" w:hAnsi="Arial" w:cs="Arial"/>
        </w:rPr>
        <w:t>ondition</w:t>
      </w:r>
      <w:r>
        <w:rPr>
          <w:rFonts w:ascii="Arial" w:hAnsi="Arial" w:cs="Arial"/>
        </w:rPr>
        <w:t>s</w:t>
      </w:r>
      <w:r w:rsidRPr="00C60B97">
        <w:rPr>
          <w:rFonts w:ascii="Arial" w:hAnsi="Arial" w:cs="Arial"/>
        </w:rPr>
        <w:t xml:space="preserve"> de température et d’hygrométrie des locaux</w:t>
      </w:r>
    </w:p>
    <w:p w:rsidR="00C60B97" w:rsidRDefault="00C60B97" w:rsidP="00C60B97">
      <w:pPr>
        <w:pStyle w:val="Paragraphedeliste"/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Pr="00C60B97" w:rsidRDefault="00602C4F" w:rsidP="00C60B97">
      <w:pPr>
        <w:pStyle w:val="Paragraphedeliste"/>
        <w:jc w:val="both"/>
        <w:rPr>
          <w:rFonts w:ascii="Arial" w:hAnsi="Arial" w:cs="Arial"/>
        </w:rPr>
      </w:pPr>
    </w:p>
    <w:p w:rsidR="00C60B97" w:rsidRDefault="00602C4F" w:rsidP="00C60B9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Décrire les c</w:t>
      </w:r>
      <w:r w:rsidR="00C60B97" w:rsidRPr="00C60B97">
        <w:rPr>
          <w:rFonts w:ascii="Arial" w:hAnsi="Arial" w:cs="Arial"/>
        </w:rPr>
        <w:t>onditions de sécurité / mesures de surveillance</w:t>
      </w:r>
      <w:r>
        <w:rPr>
          <w:rFonts w:ascii="Arial" w:hAnsi="Arial" w:cs="Arial"/>
        </w:rPr>
        <w:t xml:space="preserve"> conformément à l’article</w:t>
      </w:r>
      <w:r w:rsidR="00C60B97" w:rsidRPr="00C60B97">
        <w:rPr>
          <w:rFonts w:ascii="Arial" w:hAnsi="Arial" w:cs="Arial"/>
        </w:rPr>
        <w:t xml:space="preserve"> </w:t>
      </w:r>
      <w:hyperlink r:id="rId12" w:history="1">
        <w:r w:rsidR="00C60B97" w:rsidRPr="00C60B97">
          <w:rPr>
            <w:rFonts w:ascii="Arial" w:hAnsi="Arial" w:cs="Arial"/>
          </w:rPr>
          <w:t>R</w:t>
        </w:r>
        <w:r>
          <w:rPr>
            <w:rFonts w:ascii="Arial" w:hAnsi="Arial" w:cs="Arial"/>
          </w:rPr>
          <w:t>.</w:t>
        </w:r>
        <w:r w:rsidR="00C60B97" w:rsidRPr="00C60B97">
          <w:rPr>
            <w:rFonts w:ascii="Arial" w:hAnsi="Arial" w:cs="Arial"/>
          </w:rPr>
          <w:t xml:space="preserve"> 273-5</w:t>
        </w:r>
      </w:hyperlink>
      <w:r w:rsidR="00C60B97" w:rsidRPr="00C60B97">
        <w:rPr>
          <w:rFonts w:ascii="Arial" w:hAnsi="Arial" w:cs="Arial"/>
        </w:rPr>
        <w:t xml:space="preserve"> du code de la sécurité intérieure</w:t>
      </w:r>
    </w:p>
    <w:p w:rsidR="00602C4F" w:rsidRDefault="00602C4F" w:rsidP="00602C4F">
      <w:pPr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rPr>
          <w:rFonts w:ascii="Arial" w:hAnsi="Arial" w:cs="Arial"/>
        </w:rPr>
      </w:pPr>
    </w:p>
    <w:p w:rsidR="00380308" w:rsidRDefault="00380308" w:rsidP="00602C4F">
      <w:pPr>
        <w:rPr>
          <w:rFonts w:ascii="Arial" w:hAnsi="Arial" w:cs="Arial"/>
        </w:rPr>
      </w:pPr>
    </w:p>
    <w:p w:rsidR="00380308" w:rsidRPr="00602C4F" w:rsidRDefault="00380308" w:rsidP="00602C4F">
      <w:pPr>
        <w:rPr>
          <w:rFonts w:ascii="Arial" w:hAnsi="Arial" w:cs="Arial"/>
        </w:rPr>
      </w:pPr>
    </w:p>
    <w:p w:rsidR="00C60B97" w:rsidRDefault="00602C4F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Décrire les conditions de d</w:t>
      </w:r>
      <w:r w:rsidR="00C60B97" w:rsidRPr="00C60B97">
        <w:rPr>
          <w:rFonts w:ascii="Arial" w:hAnsi="Arial" w:cs="Arial"/>
        </w:rPr>
        <w:t>étention des médicaments à conserver entre + 2° C et + 8° C</w:t>
      </w:r>
    </w:p>
    <w:p w:rsidR="00602C4F" w:rsidRDefault="00602C4F" w:rsidP="00602C4F">
      <w:pPr>
        <w:pStyle w:val="Paragraphedeliste"/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Pr="00C60B97" w:rsidRDefault="00602C4F" w:rsidP="00602C4F">
      <w:pPr>
        <w:pStyle w:val="Paragraphedeliste"/>
        <w:jc w:val="both"/>
        <w:rPr>
          <w:rFonts w:ascii="Arial" w:hAnsi="Arial" w:cs="Arial"/>
        </w:rPr>
      </w:pPr>
    </w:p>
    <w:p w:rsidR="00C60B97" w:rsidRDefault="00602C4F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le cas échéant les locaux dans lesquels est réalisée l’activité de préparation des doses à administrer</w:t>
      </w:r>
    </w:p>
    <w:p w:rsidR="00602C4F" w:rsidRDefault="00602C4F" w:rsidP="00602C4F">
      <w:pPr>
        <w:pStyle w:val="Paragraphedeliste"/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Pr="00C60B97" w:rsidRDefault="00602C4F" w:rsidP="00602C4F">
      <w:pPr>
        <w:pStyle w:val="Paragraphedeliste"/>
        <w:jc w:val="both"/>
        <w:rPr>
          <w:rFonts w:ascii="Arial" w:hAnsi="Arial" w:cs="Arial"/>
        </w:rPr>
      </w:pPr>
    </w:p>
    <w:p w:rsidR="00602C4F" w:rsidRDefault="00602C4F" w:rsidP="00602C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Décrire le cas échéant les locaux dans lesquels est réalisée l’activité de vaccination qui doivent être conformes à l’a</w:t>
      </w:r>
      <w:r w:rsidRPr="00C60B97">
        <w:rPr>
          <w:rFonts w:ascii="Arial" w:hAnsi="Arial" w:cs="Arial"/>
        </w:rPr>
        <w:t>rrêté du 23 avril 2019 fixant le cahier des charges relatif aux conditions techniques à respecter pour exercer l’activité de vaccination et les objectifs pédagogiques de la formation à suivre par les pharmaciens d’officine</w:t>
      </w:r>
    </w:p>
    <w:p w:rsidR="00602C4F" w:rsidRDefault="00602C4F" w:rsidP="00602C4F">
      <w:pPr>
        <w:pStyle w:val="Paragraphedeliste"/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02C4F" w:rsidRDefault="00602C4F" w:rsidP="0060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4701E" w:rsidRDefault="0064701E" w:rsidP="006D4BA4">
      <w:pPr>
        <w:jc w:val="both"/>
        <w:rPr>
          <w:rFonts w:ascii="Arial" w:hAnsi="Arial" w:cs="Arial"/>
        </w:rPr>
      </w:pPr>
    </w:p>
    <w:p w:rsidR="0064701E" w:rsidRDefault="0064701E" w:rsidP="006D4BA4">
      <w:pPr>
        <w:jc w:val="both"/>
        <w:rPr>
          <w:rFonts w:ascii="Arial" w:hAnsi="Arial" w:cs="Arial"/>
        </w:rPr>
      </w:pPr>
    </w:p>
    <w:p w:rsidR="00BA1C66" w:rsidRPr="0064701E" w:rsidRDefault="00BA1C66" w:rsidP="006D4BA4">
      <w:pPr>
        <w:jc w:val="both"/>
        <w:rPr>
          <w:rFonts w:ascii="Arial" w:hAnsi="Arial" w:cs="Arial"/>
        </w:rPr>
      </w:pPr>
    </w:p>
    <w:sectPr w:rsidR="00BA1C66" w:rsidRPr="0064701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1" w:rsidRDefault="00D01371" w:rsidP="00D01371">
      <w:r>
        <w:separator/>
      </w:r>
    </w:p>
  </w:endnote>
  <w:endnote w:type="continuationSeparator" w:id="0">
    <w:p w:rsidR="00D01371" w:rsidRDefault="00D01371" w:rsidP="00D0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1" w:rsidRPr="00D01371" w:rsidRDefault="00D01371">
    <w:pPr>
      <w:pStyle w:val="Pieddepage"/>
      <w:rPr>
        <w:rFonts w:ascii="Arial" w:hAnsi="Arial" w:cs="Arial"/>
        <w:sz w:val="20"/>
        <w:szCs w:val="20"/>
      </w:rPr>
    </w:pPr>
    <w:r w:rsidRPr="00D01371">
      <w:rPr>
        <w:rFonts w:ascii="Arial" w:hAnsi="Arial" w:cs="Arial"/>
        <w:sz w:val="20"/>
        <w:szCs w:val="20"/>
      </w:rPr>
      <w:t>Département pharmacie et biologie</w:t>
    </w:r>
  </w:p>
  <w:p w:rsidR="00D01371" w:rsidRPr="00D01371" w:rsidRDefault="00D01371">
    <w:pPr>
      <w:pStyle w:val="Pieddepage"/>
      <w:rPr>
        <w:rFonts w:ascii="Arial" w:hAnsi="Arial" w:cs="Arial"/>
        <w:sz w:val="20"/>
        <w:szCs w:val="20"/>
      </w:rPr>
    </w:pPr>
    <w:r w:rsidRPr="00D01371">
      <w:rPr>
        <w:rFonts w:ascii="Arial" w:hAnsi="Arial" w:cs="Arial"/>
        <w:sz w:val="20"/>
        <w:szCs w:val="20"/>
      </w:rPr>
      <w:t>Version SF/2021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1" w:rsidRDefault="00D01371" w:rsidP="00D01371">
      <w:r>
        <w:separator/>
      </w:r>
    </w:p>
  </w:footnote>
  <w:footnote w:type="continuationSeparator" w:id="0">
    <w:p w:rsidR="00D01371" w:rsidRDefault="00D01371" w:rsidP="00D01371">
      <w:r>
        <w:continuationSeparator/>
      </w:r>
    </w:p>
  </w:footnote>
  <w:footnote w:id="1">
    <w:p w:rsidR="00C60B97" w:rsidRDefault="00C60B97" w:rsidP="00C60B97">
      <w:pPr>
        <w:pStyle w:val="Notedebasdepage"/>
      </w:pPr>
      <w:r>
        <w:rPr>
          <w:rStyle w:val="Appelnotedebasdep"/>
        </w:rPr>
        <w:footnoteRef/>
      </w:r>
      <w:r>
        <w:t xml:space="preserve"> Article </w:t>
      </w:r>
      <w:r w:rsidRPr="00C60B97">
        <w:t>L. 5125-1-1 A  du CSP</w:t>
      </w:r>
      <w:r>
        <w:t> : Dans les conditions définies par le présent code, les pharmaciens d'officine :</w:t>
      </w:r>
    </w:p>
    <w:p w:rsidR="00C60B97" w:rsidRDefault="00C60B97" w:rsidP="00C60B97">
      <w:pPr>
        <w:pStyle w:val="Notedebasdepage"/>
      </w:pPr>
      <w:r>
        <w:t>1° Contribuent aux soins de premier recours définis à l'article L. 1411-11 ;</w:t>
      </w:r>
    </w:p>
    <w:p w:rsidR="00C60B97" w:rsidRDefault="00C60B97" w:rsidP="00C60B97">
      <w:pPr>
        <w:pStyle w:val="Notedebasdepage"/>
      </w:pPr>
      <w:r>
        <w:t>2° Participent à la coopération entre professionnels de santé ;</w:t>
      </w:r>
    </w:p>
    <w:p w:rsidR="00C60B97" w:rsidRDefault="00C60B97" w:rsidP="00C60B97">
      <w:pPr>
        <w:pStyle w:val="Notedebasdepage"/>
      </w:pPr>
      <w:r>
        <w:t>3° Participent à la mission de service public de la permanence des soins ;</w:t>
      </w:r>
    </w:p>
    <w:p w:rsidR="00C60B97" w:rsidRDefault="00C60B97" w:rsidP="00C60B97">
      <w:pPr>
        <w:pStyle w:val="Notedebasdepage"/>
      </w:pPr>
      <w:r>
        <w:t>4° Concourent aux actions de veille et de protection sanitaire organisées par les autorités de santé ;</w:t>
      </w:r>
    </w:p>
    <w:p w:rsidR="00C60B97" w:rsidRDefault="00C60B97" w:rsidP="00C60B97">
      <w:pPr>
        <w:pStyle w:val="Notedebasdepage"/>
      </w:pPr>
      <w:r>
        <w:t>5° Peuvent participer à l'éducation thérapeutique et aux actions d'accompagnement de patients définies aux articles L. 1161-1 à L. 1161-5 ;</w:t>
      </w:r>
    </w:p>
    <w:p w:rsidR="00C60B97" w:rsidRDefault="00C60B97" w:rsidP="00C60B97">
      <w:pPr>
        <w:pStyle w:val="Notedebasdepage"/>
      </w:pPr>
      <w:r>
        <w:t>6° Peuvent assurer la fonction de pharmacien référent pour un établissement mentionné au 6° du I de l'article L. 312-1 du code de l'action sociale et des familles ayant souscrit le contrat mentionné au IV ter de l'article L. 313-12 du même code qui ne dispose pas de pharmacie à usage intérieur ou qui n'est pas membre d'un groupement de coopération sanitaire gérant une pharmacie à usage intérieur ;</w:t>
      </w:r>
    </w:p>
    <w:p w:rsidR="00C60B97" w:rsidRDefault="00C60B97" w:rsidP="00C60B97">
      <w:pPr>
        <w:pStyle w:val="Notedebasdepage"/>
      </w:pPr>
      <w:r>
        <w:t>7° Peuvent, dans le cadre des coopérations prévues par l'article L. 4011-1 du présent code, être désignés comme correspondants au sein de l'équipe de soins par le patient. A ce titre, ils peuvent, à la demande du médecin ou avec son accord, renouveler périodiquement des traitements chroniques, ajuster, au besoin, leur posologie et effectuer des bilans de médications destinés à en optimiser les effets ;</w:t>
      </w:r>
    </w:p>
    <w:p w:rsidR="00C60B97" w:rsidRDefault="00C60B97" w:rsidP="00C60B97">
      <w:pPr>
        <w:pStyle w:val="Notedebasdepage"/>
      </w:pPr>
      <w:r>
        <w:t>8° Peuvent proposer des conseils et prestations destinés à favoriser l'amélioration ou le maintien de l'état de santé des personnes ;</w:t>
      </w:r>
    </w:p>
    <w:p w:rsidR="00C60B97" w:rsidRDefault="00C60B97" w:rsidP="00C60B97">
      <w:pPr>
        <w:pStyle w:val="Notedebasdepage"/>
      </w:pPr>
      <w:r>
        <w:t>9° Peuvent effectuer les vaccinations dont la liste est fixée par arrêté du ministre chargé de la santé pris après avis de la Haute Autorité de santé.</w:t>
      </w:r>
    </w:p>
    <w:p w:rsidR="00C60B97" w:rsidRDefault="00C60B97" w:rsidP="00C60B97">
      <w:pPr>
        <w:pStyle w:val="Notedebasdepage"/>
      </w:pPr>
      <w:r>
        <w:t>Un décret en Conseil d'Etat fixe les conditions d'application des 7°, 8° et 9°.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1" w:rsidRDefault="00D01371">
    <w:pPr>
      <w:pStyle w:val="En-tte"/>
    </w:pPr>
    <w:r>
      <w:rPr>
        <w:noProof/>
      </w:rPr>
      <w:drawing>
        <wp:inline distT="0" distB="0" distL="0" distR="0" wp14:anchorId="78D01F4E" wp14:editId="634DDF02">
          <wp:extent cx="1266825" cy="7524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5323D"/>
    <w:multiLevelType w:val="hybridMultilevel"/>
    <w:tmpl w:val="D5722C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1E"/>
    <w:rsid w:val="0008239F"/>
    <w:rsid w:val="00137267"/>
    <w:rsid w:val="00380308"/>
    <w:rsid w:val="004B204C"/>
    <w:rsid w:val="00575EED"/>
    <w:rsid w:val="00602C4F"/>
    <w:rsid w:val="0064701E"/>
    <w:rsid w:val="006742FB"/>
    <w:rsid w:val="006D4BA4"/>
    <w:rsid w:val="0077293D"/>
    <w:rsid w:val="00793912"/>
    <w:rsid w:val="00A47F2D"/>
    <w:rsid w:val="00B24EE7"/>
    <w:rsid w:val="00B35898"/>
    <w:rsid w:val="00B65131"/>
    <w:rsid w:val="00B83E2D"/>
    <w:rsid w:val="00BA1C66"/>
    <w:rsid w:val="00C00ABB"/>
    <w:rsid w:val="00C409DE"/>
    <w:rsid w:val="00C60B97"/>
    <w:rsid w:val="00D01371"/>
    <w:rsid w:val="00E4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0F5DD-4D09-4D2C-ACA9-297A315F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4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0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01E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64701E"/>
    <w:pPr>
      <w:jc w:val="center"/>
    </w:pPr>
    <w:rPr>
      <w:rFonts w:ascii="Arial" w:eastAsia="Times New Roman" w:hAnsi="Arial"/>
      <w:b/>
      <w:color w:val="000000"/>
      <w:sz w:val="28"/>
      <w:szCs w:val="20"/>
    </w:rPr>
  </w:style>
  <w:style w:type="character" w:customStyle="1" w:styleId="TitreCar">
    <w:name w:val="Titre Car"/>
    <w:basedOn w:val="Policepardfaut"/>
    <w:link w:val="Titre"/>
    <w:rsid w:val="0064701E"/>
    <w:rPr>
      <w:rFonts w:ascii="Arial" w:eastAsia="Times New Roman" w:hAnsi="Arial" w:cs="Times New Roman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64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701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3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0B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0B9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60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2665&amp;idArticle=LEGIARTI000006914975&amp;dateTexte=&amp;categorieLien=ci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cidTexte=LEGITEXT000025503132&amp;idArticle=LEGIARTI000028285507&amp;dateTexte=&amp;categorieLien=c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cidTexte=LEGITEXT000006072665&amp;idArticle=LEGIARTI000036398179&amp;dateTexte=&amp;categorieLien=c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affichCodeArticle.do?cidTexte=LEGITEXT000006072665&amp;idArticle=LEGIARTI000020887768&amp;dateTexte=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cidTexte=LEGITEXT000006072665&amp;idArticle=LEGIARTI000006913711&amp;dateTexte=&amp;categorieLien=c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C15F-122A-4997-99C1-702CEE55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781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FROMENT, Hervé (ARS-PACA/DOS/DBIO PHAR)</cp:lastModifiedBy>
  <cp:revision>2</cp:revision>
  <dcterms:created xsi:type="dcterms:W3CDTF">2023-09-18T07:15:00Z</dcterms:created>
  <dcterms:modified xsi:type="dcterms:W3CDTF">2023-09-18T07:15:00Z</dcterms:modified>
</cp:coreProperties>
</file>