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BE" w:rsidRDefault="00C95AA1" w:rsidP="004D2D4A">
      <w:pPr>
        <w:jc w:val="both"/>
        <w:rPr>
          <w:rFonts w:ascii="Bookman Old Style" w:hAnsi="Bookman Old Style" w:cs="Arial"/>
        </w:rPr>
      </w:pPr>
      <w:r w:rsidRPr="00727E0A">
        <w:rPr>
          <w:rFonts w:ascii="Bookman Old Style" w:hAnsi="Bookman Old Style"/>
          <w:noProof/>
        </w:rPr>
        <w:drawing>
          <wp:inline distT="0" distB="0" distL="0" distR="0" wp14:anchorId="4F037171" wp14:editId="5223E4E0">
            <wp:extent cx="1560830" cy="1238250"/>
            <wp:effectExtent l="0" t="0" r="0" b="0"/>
            <wp:docPr id="1" name="Image 1" descr="http://www.intranet.ars.sante.fr/fileadmin/private/PACA/S_organiser_au_quotidien/Creer_un_document/logos/Basse_definition/ars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fileadmin/private/PACA/S_organiser_au_quotidien/Creer_un_document/logos/Basse_definition/arsPa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41" cy="123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AA1">
        <w:rPr>
          <w:rFonts w:ascii="Bookman Old Style" w:hAnsi="Bookman Old Style" w:cs="Arial"/>
          <w:b/>
          <w:color w:val="76923C" w:themeColor="accent3" w:themeShade="BF"/>
        </w:rPr>
        <w:t xml:space="preserve"> </w:t>
      </w:r>
      <w:r w:rsidRPr="009567E0">
        <w:rPr>
          <w:rFonts w:ascii="Bookman Old Style" w:hAnsi="Bookman Old Style" w:cs="Arial"/>
          <w:b/>
          <w:color w:val="76923C" w:themeColor="accent3" w:themeShade="BF"/>
        </w:rPr>
        <w:t>A</w:t>
      </w:r>
      <w:r w:rsidRPr="009567E0">
        <w:rPr>
          <w:rFonts w:ascii="Bookman Old Style" w:hAnsi="Bookman Old Style" w:cs="Arial"/>
          <w:b/>
          <w:color w:val="17365D" w:themeColor="text2" w:themeShade="BF"/>
        </w:rPr>
        <w:t>s</w:t>
      </w:r>
      <w:r>
        <w:rPr>
          <w:rFonts w:ascii="Bookman Old Style" w:hAnsi="Bookman Old Style" w:cs="Arial"/>
          <w:b/>
          <w:color w:val="17365D" w:themeColor="text2" w:themeShade="BF"/>
        </w:rPr>
        <w:t>s</w:t>
      </w:r>
      <w:r w:rsidRPr="009567E0">
        <w:rPr>
          <w:rFonts w:ascii="Bookman Old Style" w:hAnsi="Bookman Old Style" w:cs="Arial"/>
          <w:b/>
          <w:color w:val="17365D" w:themeColor="text2" w:themeShade="BF"/>
        </w:rPr>
        <w:t>istants</w:t>
      </w:r>
      <w:r w:rsidRPr="009567E0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  <w:color w:val="76923C" w:themeColor="accent3" w:themeShade="BF"/>
        </w:rPr>
        <w:t>S</w:t>
      </w:r>
      <w:r w:rsidRPr="001E06A5">
        <w:rPr>
          <w:rFonts w:ascii="Bookman Old Style" w:hAnsi="Bookman Old Style" w:cs="Arial"/>
          <w:b/>
          <w:color w:val="17365D" w:themeColor="text2" w:themeShade="BF"/>
        </w:rPr>
        <w:t>pécialistes</w:t>
      </w:r>
      <w:r>
        <w:rPr>
          <w:rFonts w:ascii="Bookman Old Style" w:hAnsi="Bookman Old Style" w:cs="Arial"/>
          <w:b/>
          <w:color w:val="76923C" w:themeColor="accent3" w:themeShade="BF"/>
        </w:rPr>
        <w:t xml:space="preserve"> </w:t>
      </w:r>
      <w:r w:rsidRPr="009567E0">
        <w:rPr>
          <w:rFonts w:ascii="Bookman Old Style" w:hAnsi="Bookman Old Style" w:cs="Arial"/>
          <w:b/>
          <w:color w:val="17365D" w:themeColor="text2" w:themeShade="BF"/>
        </w:rPr>
        <w:t>à</w:t>
      </w:r>
      <w:r w:rsidRPr="009567E0">
        <w:rPr>
          <w:rFonts w:ascii="Bookman Old Style" w:hAnsi="Bookman Old Style" w:cs="Arial"/>
          <w:b/>
        </w:rPr>
        <w:t xml:space="preserve"> </w:t>
      </w:r>
      <w:r w:rsidRPr="009567E0">
        <w:rPr>
          <w:rFonts w:ascii="Bookman Old Style" w:hAnsi="Bookman Old Style" w:cs="Arial"/>
          <w:b/>
          <w:color w:val="76923C" w:themeColor="accent3" w:themeShade="BF"/>
        </w:rPr>
        <w:t>T</w:t>
      </w:r>
      <w:r w:rsidRPr="009567E0">
        <w:rPr>
          <w:rFonts w:ascii="Bookman Old Style" w:hAnsi="Bookman Old Style" w:cs="Arial"/>
          <w:b/>
          <w:color w:val="17365D" w:themeColor="text2" w:themeShade="BF"/>
        </w:rPr>
        <w:t xml:space="preserve">emps </w:t>
      </w:r>
      <w:r w:rsidRPr="009567E0">
        <w:rPr>
          <w:rFonts w:ascii="Bookman Old Style" w:hAnsi="Bookman Old Style" w:cs="Arial"/>
          <w:b/>
          <w:color w:val="76923C" w:themeColor="accent3" w:themeShade="BF"/>
        </w:rPr>
        <w:t>P</w:t>
      </w:r>
      <w:r w:rsidRPr="009567E0">
        <w:rPr>
          <w:rFonts w:ascii="Bookman Old Style" w:hAnsi="Bookman Old Style" w:cs="Arial"/>
          <w:b/>
          <w:color w:val="17365D" w:themeColor="text2" w:themeShade="BF"/>
        </w:rPr>
        <w:t>artagé</w:t>
      </w:r>
      <w:r w:rsidRPr="00727E0A">
        <w:rPr>
          <w:rFonts w:ascii="Bookman Old Style" w:hAnsi="Bookman Old Style" w:cs="Arial"/>
        </w:rPr>
        <w:t>(ASTP)</w:t>
      </w:r>
    </w:p>
    <w:p w:rsidR="00C95AA1" w:rsidRPr="00727E0A" w:rsidRDefault="00C95AA1" w:rsidP="004D2D4A">
      <w:pPr>
        <w:jc w:val="both"/>
        <w:rPr>
          <w:rFonts w:ascii="Bookman Old Style" w:hAnsi="Bookman Old Style" w:cs="Arial"/>
          <w:sz w:val="20"/>
          <w:szCs w:val="20"/>
        </w:rPr>
      </w:pPr>
    </w:p>
    <w:p w:rsidR="00C95AA1" w:rsidRDefault="00C95AA1" w:rsidP="00C95AA1">
      <w:pPr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</w:p>
    <w:p w:rsidR="00727E0A" w:rsidRPr="00727E0A" w:rsidRDefault="00727E0A" w:rsidP="00C95AA1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</w:pPr>
      <w:r w:rsidRPr="00727E0A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REGLEMENTA</w:t>
      </w:r>
      <w:r w:rsidR="00EF4285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T</w:t>
      </w:r>
      <w:r w:rsidRPr="00727E0A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ION/CADRE NATIONAL</w:t>
      </w:r>
      <w:r w:rsidR="000C7E58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</w:p>
    <w:p w:rsidR="000945D3" w:rsidRDefault="002E317D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Ce dispositif de soutien à la démographie médicale vient en complément du dispositif national « Bachelot » mis en place en 2010.</w:t>
      </w:r>
      <w:r w:rsidR="00EF4285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6A508C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Les postes d’assistant partagé sont complémentaires des autres dispositifs (assistants des </w:t>
      </w:r>
      <w:r w:rsidR="000945D3">
        <w:rPr>
          <w:rFonts w:ascii="Bookman Old Style" w:eastAsia="Calibri" w:hAnsi="Bookman Old Style"/>
          <w:bCs/>
          <w:sz w:val="22"/>
          <w:szCs w:val="22"/>
          <w:lang w:eastAsia="en-US"/>
        </w:rPr>
        <w:t>hôpitaux</w:t>
      </w:r>
      <w:r w:rsidR="006A508C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et chefs de cliniques universitaires)</w:t>
      </w:r>
      <w:r w:rsidR="000945D3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727E0A" w:rsidRPr="00617711" w:rsidRDefault="00040817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>L</w:t>
      </w:r>
      <w:r w:rsidR="00B059D5"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>e poste d</w:t>
      </w: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’assistant à temps partagé </w:t>
      </w:r>
      <w:r w:rsidR="00B059D5"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>correspond à</w:t>
      </w: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une activité de </w:t>
      </w:r>
      <w:r w:rsidRPr="00617711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2 ans.</w:t>
      </w:r>
    </w:p>
    <w:p w:rsidR="00040817" w:rsidRDefault="00B059D5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>L’ASTP</w:t>
      </w:r>
      <w:r w:rsidR="00EF4285"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040817">
        <w:rPr>
          <w:rFonts w:ascii="Bookman Old Style" w:eastAsia="Calibri" w:hAnsi="Bookman Old Style"/>
          <w:bCs/>
          <w:sz w:val="22"/>
          <w:szCs w:val="22"/>
          <w:lang w:eastAsia="en-US"/>
        </w:rPr>
        <w:t>assure des missions cliniques mais également des activités pédagogiques, d’enseignement et de recherche.</w:t>
      </w:r>
    </w:p>
    <w:p w:rsidR="00040817" w:rsidRPr="00EF4285" w:rsidRDefault="00040817" w:rsidP="000945D3">
      <w:pPr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EF4285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Toutes les spécialités peuvent être </w:t>
      </w:r>
      <w:r w:rsidR="00715936" w:rsidRPr="00EF4285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concernées</w:t>
      </w:r>
      <w:r w:rsidRPr="00EF4285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.</w:t>
      </w:r>
    </w:p>
    <w:p w:rsidR="00715936" w:rsidRDefault="00715936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L’assistant partagé pourra accéder au statut de PH par concours sur titre.</w:t>
      </w:r>
    </w:p>
    <w:p w:rsidR="004E46A2" w:rsidRDefault="004E46A2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4E46A2" w:rsidRDefault="004E46A2" w:rsidP="004E46A2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Ce dispositif permet de créer des postes passerelles entre l’internat et l’installation </w:t>
      </w:r>
      <w:r w:rsidR="00B059D5"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en libéral </w:t>
      </w: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ou 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le recrutement en établissement hospitalier.</w:t>
      </w:r>
    </w:p>
    <w:p w:rsidR="004E46A2" w:rsidRDefault="004E46A2" w:rsidP="004E46A2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Les objectifs du dispositif sont :</w:t>
      </w:r>
    </w:p>
    <w:p w:rsidR="004E46A2" w:rsidRDefault="004E46A2" w:rsidP="004E46A2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De soutenir les projets professionnels en permettant à de jeunes médecins de parfaire leur formation post internat</w:t>
      </w:r>
    </w:p>
    <w:p w:rsidR="004E46A2" w:rsidRDefault="004E46A2" w:rsidP="004E46A2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De favoriser l’exercice hors CHU et à terme de faciliter l’installation des médecins en périphérie.</w:t>
      </w:r>
    </w:p>
    <w:p w:rsidR="004E46A2" w:rsidRDefault="004E46A2" w:rsidP="004E46A2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De consolider les équipes médicales des établissements de santé en difficulté de recrutement</w:t>
      </w:r>
    </w:p>
    <w:p w:rsidR="004E46A2" w:rsidRDefault="004E46A2" w:rsidP="004E46A2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De favoriser la coopération entre établissements mais également avec la médecine ambulatoire.</w:t>
      </w:r>
    </w:p>
    <w:p w:rsidR="004E46A2" w:rsidRPr="009D2486" w:rsidRDefault="004E46A2" w:rsidP="000945D3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De permettre aux jeunes médecins de participer à l’encadrement d’internes et étudiants en santé.</w:t>
      </w:r>
    </w:p>
    <w:p w:rsidR="00715936" w:rsidRDefault="00715936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FA6477" w:rsidRDefault="00727E0A" w:rsidP="0009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Il existe donc plusieurs possibilités d’ASTP :</w:t>
      </w:r>
    </w:p>
    <w:p w:rsidR="00727E0A" w:rsidRPr="00EF4285" w:rsidRDefault="00727E0A" w:rsidP="0009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EF4285">
        <w:rPr>
          <w:rFonts w:ascii="Bookman Old Style" w:eastAsia="Calibri" w:hAnsi="Bookman Old Style"/>
          <w:bCs/>
          <w:sz w:val="22"/>
          <w:szCs w:val="22"/>
          <w:lang w:eastAsia="en-US"/>
        </w:rPr>
        <w:t>CHU/CH</w:t>
      </w:r>
    </w:p>
    <w:p w:rsidR="00727E0A" w:rsidRPr="00EF4285" w:rsidRDefault="00727E0A" w:rsidP="0009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EF4285">
        <w:rPr>
          <w:rFonts w:ascii="Bookman Old Style" w:eastAsia="Calibri" w:hAnsi="Bookman Old Style"/>
          <w:bCs/>
          <w:sz w:val="22"/>
          <w:szCs w:val="22"/>
          <w:lang w:eastAsia="en-US"/>
        </w:rPr>
        <w:t>CH/CH</w:t>
      </w:r>
    </w:p>
    <w:p w:rsidR="00727E0A" w:rsidRPr="00EF4285" w:rsidRDefault="00727E0A" w:rsidP="0009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  <w:r w:rsidRPr="000C7E58">
        <w:rPr>
          <w:rFonts w:ascii="Bookman Old Style" w:eastAsia="Calibri" w:hAnsi="Bookman Old Style"/>
          <w:bCs/>
          <w:sz w:val="22"/>
          <w:szCs w:val="22"/>
          <w:lang w:eastAsia="en-US"/>
        </w:rPr>
        <w:t>CHU/ambulatoire</w:t>
      </w:r>
      <w:r w:rsidR="000C7E58" w:rsidRPr="000C7E58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0C7E58" w:rsidRPr="00EF4285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(MSP, centre de santé, cabinet libéral)</w:t>
      </w:r>
    </w:p>
    <w:p w:rsidR="00727E0A" w:rsidRPr="00727E0A" w:rsidRDefault="00715936" w:rsidP="0009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    </w:t>
      </w:r>
      <w:r w:rsidR="00727E0A" w:rsidRPr="00727E0A">
        <w:rPr>
          <w:rFonts w:ascii="Bookman Old Style" w:eastAsia="Calibri" w:hAnsi="Bookman Old Style"/>
          <w:bCs/>
          <w:sz w:val="22"/>
          <w:szCs w:val="22"/>
          <w:lang w:eastAsia="en-US"/>
        </w:rPr>
        <w:t>CH/ambulatoire</w:t>
      </w:r>
      <w:r w:rsidR="000C7E58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0C7E58" w:rsidRPr="00EF4285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(MSP, centre de santé, cabinet libéral)</w:t>
      </w:r>
    </w:p>
    <w:p w:rsidR="00727E0A" w:rsidRDefault="00727E0A" w:rsidP="000945D3">
      <w:pPr>
        <w:pStyle w:val="Paragraphedeliste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B059D5" w:rsidRDefault="00B059D5" w:rsidP="000945D3">
      <w:pPr>
        <w:jc w:val="both"/>
        <w:rPr>
          <w:rFonts w:ascii="Bookman Old Style" w:eastAsia="Calibri" w:hAnsi="Bookman Old Style"/>
          <w:bCs/>
          <w:color w:val="17365D" w:themeColor="text2" w:themeShade="BF"/>
          <w:sz w:val="22"/>
          <w:szCs w:val="22"/>
          <w:highlight w:val="yellow"/>
          <w:lang w:eastAsia="en-US"/>
        </w:rPr>
      </w:pPr>
    </w:p>
    <w:p w:rsidR="00B059D5" w:rsidRDefault="00B059D5" w:rsidP="000945D3">
      <w:pPr>
        <w:jc w:val="both"/>
        <w:rPr>
          <w:rFonts w:ascii="Bookman Old Style" w:eastAsia="Calibri" w:hAnsi="Bookman Old Style"/>
          <w:bCs/>
          <w:color w:val="17365D" w:themeColor="text2" w:themeShade="BF"/>
          <w:sz w:val="22"/>
          <w:szCs w:val="22"/>
          <w:highlight w:val="yellow"/>
          <w:lang w:eastAsia="en-US"/>
        </w:rPr>
      </w:pPr>
    </w:p>
    <w:p w:rsidR="00B059D5" w:rsidRDefault="00B059D5" w:rsidP="000945D3">
      <w:pPr>
        <w:jc w:val="both"/>
        <w:rPr>
          <w:rFonts w:ascii="Bookman Old Style" w:eastAsia="Calibri" w:hAnsi="Bookman Old Style"/>
          <w:bCs/>
          <w:color w:val="17365D" w:themeColor="text2" w:themeShade="BF"/>
          <w:sz w:val="22"/>
          <w:szCs w:val="22"/>
          <w:highlight w:val="yellow"/>
          <w:lang w:eastAsia="en-US"/>
        </w:rPr>
      </w:pPr>
    </w:p>
    <w:p w:rsidR="00B059D5" w:rsidRDefault="00B059D5" w:rsidP="000945D3">
      <w:pPr>
        <w:jc w:val="both"/>
        <w:rPr>
          <w:rFonts w:ascii="Bookman Old Style" w:eastAsia="Calibri" w:hAnsi="Bookman Old Style"/>
          <w:bCs/>
          <w:color w:val="17365D" w:themeColor="text2" w:themeShade="BF"/>
          <w:sz w:val="22"/>
          <w:szCs w:val="22"/>
          <w:highlight w:val="yellow"/>
          <w:lang w:eastAsia="en-US"/>
        </w:rPr>
      </w:pPr>
    </w:p>
    <w:p w:rsidR="00B059D5" w:rsidRDefault="00B059D5" w:rsidP="000945D3">
      <w:pPr>
        <w:jc w:val="both"/>
        <w:rPr>
          <w:rFonts w:ascii="Bookman Old Style" w:eastAsia="Calibri" w:hAnsi="Bookman Old Style"/>
          <w:bCs/>
          <w:color w:val="17365D" w:themeColor="text2" w:themeShade="BF"/>
          <w:sz w:val="22"/>
          <w:szCs w:val="22"/>
          <w:highlight w:val="yellow"/>
          <w:lang w:eastAsia="en-US"/>
        </w:rPr>
      </w:pPr>
    </w:p>
    <w:p w:rsidR="004E46A2" w:rsidRDefault="004E46A2" w:rsidP="000945D3">
      <w:pPr>
        <w:jc w:val="both"/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</w:p>
    <w:p w:rsidR="00727E0A" w:rsidRPr="00617711" w:rsidRDefault="00B059D5" w:rsidP="000945D3">
      <w:pPr>
        <w:jc w:val="both"/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  <w:r w:rsidRPr="00617711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lastRenderedPageBreak/>
        <w:t>Votre attention est appelée sur le mode de facturation particulier des consultations ambulatoires réalisées par l’assistant ville/hôpital</w:t>
      </w:r>
      <w:r w:rsidR="00617711" w:rsidRPr="00617711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</w:t>
      </w:r>
      <w:r w:rsidR="000C7E58"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l’</w:t>
      </w:r>
      <w:r w:rsidR="000C7E58" w:rsidRPr="00617711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a</w:t>
      </w:r>
      <w:r w:rsidR="000C7E58"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ctivité réalisée au sein de la structure ambulatoire est considérée comme une délocalisation de l’activité hospitalière : la structure ambulatoire ne perçoit pas d’honoraires, l’acte est considéré comme une consultation externe de l’hôpital</w:t>
      </w:r>
      <w:r w:rsidR="00453E34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. Et le</w:t>
      </w:r>
      <w:r w:rsidR="000C7E58"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</w:t>
      </w:r>
      <w:r w:rsidR="000945D3"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paiement</w:t>
      </w:r>
      <w:r w:rsidR="000C7E58"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par le patient de son reste à payer se fait en différé après tiers payant sur la facture assurance maladie obligatoire, et le cas échéant tiers payant assurance maladie complémentaire, sur la base de l’avis des sommes à payer qu’il reçoit.</w:t>
      </w:r>
    </w:p>
    <w:p w:rsidR="000C7E58" w:rsidRPr="00617711" w:rsidRDefault="000C7E58" w:rsidP="000945D3">
      <w:pPr>
        <w:jc w:val="both"/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  <w:r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C’est l’</w:t>
      </w:r>
      <w:r w:rsidR="000945D3"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hôpital</w:t>
      </w:r>
      <w:r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qui facture la prestation et donc le dispositif de facturation individuelle de l’</w:t>
      </w:r>
      <w:r w:rsidR="000945D3"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hôpital</w:t>
      </w:r>
      <w:r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est mis en œuvre. L</w:t>
      </w:r>
      <w:r w:rsidR="000945D3"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e</w:t>
      </w:r>
      <w:r w:rsidRPr="000945D3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patient n’a donc rien à verser lors de sa consultation</w:t>
      </w:r>
      <w:r w:rsidRPr="00617711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.</w:t>
      </w:r>
    </w:p>
    <w:p w:rsidR="00727E0A" w:rsidRDefault="00727E0A" w:rsidP="00727E0A">
      <w:pPr>
        <w:pStyle w:val="Paragraphedeliste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4D6257" w:rsidRPr="00727E0A" w:rsidRDefault="004D6257" w:rsidP="00727E0A">
      <w:pPr>
        <w:pStyle w:val="Paragraphedeliste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6A508C" w:rsidRPr="009C4956" w:rsidRDefault="00A02A75" w:rsidP="004D6257">
      <w:p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617711">
        <w:rPr>
          <w:rFonts w:ascii="Bookman Old Style" w:eastAsia="Calibri" w:hAnsi="Bookman Old Style"/>
          <w:sz w:val="22"/>
          <w:szCs w:val="22"/>
          <w:lang w:eastAsia="en-US"/>
        </w:rPr>
        <w:t>1</w:t>
      </w:r>
      <w:r w:rsidR="001865CF" w:rsidRPr="00617711">
        <w:rPr>
          <w:rFonts w:ascii="Bookman Old Style" w:eastAsia="Calibri" w:hAnsi="Bookman Old Style"/>
          <w:sz w:val="22"/>
          <w:szCs w:val="22"/>
          <w:lang w:eastAsia="en-US"/>
        </w:rPr>
        <w:t>58</w:t>
      </w:r>
      <w:r w:rsidR="008C4072" w:rsidRPr="00617711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B059D5" w:rsidRPr="00617711">
        <w:rPr>
          <w:rFonts w:ascii="Bookman Old Style" w:eastAsia="Calibri" w:hAnsi="Bookman Old Style"/>
          <w:sz w:val="22"/>
          <w:szCs w:val="22"/>
          <w:lang w:eastAsia="en-US"/>
        </w:rPr>
        <w:t xml:space="preserve">conventions </w:t>
      </w:r>
      <w:r w:rsidR="008B0A40" w:rsidRPr="009C4956">
        <w:rPr>
          <w:rFonts w:ascii="Bookman Old Style" w:eastAsia="Calibri" w:hAnsi="Bookman Old Style"/>
          <w:sz w:val="22"/>
          <w:szCs w:val="22"/>
          <w:lang w:eastAsia="en-US"/>
        </w:rPr>
        <w:t>ASTP</w:t>
      </w:r>
      <w:r w:rsidR="004D6257">
        <w:rPr>
          <w:rFonts w:ascii="Bookman Old Style" w:eastAsia="Calibri" w:hAnsi="Bookman Old Style"/>
          <w:sz w:val="22"/>
          <w:szCs w:val="22"/>
          <w:lang w:eastAsia="en-US"/>
        </w:rPr>
        <w:t xml:space="preserve"> ont été </w:t>
      </w:r>
      <w:r w:rsidR="001865CF">
        <w:rPr>
          <w:rFonts w:ascii="Bookman Old Style" w:eastAsia="Calibri" w:hAnsi="Bookman Old Style"/>
          <w:sz w:val="22"/>
          <w:szCs w:val="22"/>
          <w:lang w:eastAsia="en-US"/>
        </w:rPr>
        <w:t>signé</w:t>
      </w:r>
      <w:r w:rsidR="00B059D5">
        <w:rPr>
          <w:rFonts w:ascii="Bookman Old Style" w:eastAsia="Calibri" w:hAnsi="Bookman Old Style"/>
          <w:sz w:val="22"/>
          <w:szCs w:val="22"/>
          <w:lang w:eastAsia="en-US"/>
        </w:rPr>
        <w:t>e</w:t>
      </w:r>
      <w:r w:rsidR="001865CF">
        <w:rPr>
          <w:rFonts w:ascii="Bookman Old Style" w:eastAsia="Calibri" w:hAnsi="Bookman Old Style"/>
          <w:sz w:val="22"/>
          <w:szCs w:val="22"/>
          <w:lang w:eastAsia="en-US"/>
        </w:rPr>
        <w:t>s entre 2015 et 2020</w:t>
      </w:r>
    </w:p>
    <w:p w:rsidR="00727E0A" w:rsidRDefault="00727E0A" w:rsidP="00727E0A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</w:pPr>
      <w:r w:rsidRPr="002F2855"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  <w:t xml:space="preserve">Les MODES de </w:t>
      </w:r>
      <w:r w:rsidR="00C95AA1" w:rsidRPr="002F2855"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  <w:t xml:space="preserve">FINANCEMENTS </w:t>
      </w:r>
    </w:p>
    <w:p w:rsidR="00964958" w:rsidRPr="002F2855" w:rsidRDefault="00964958" w:rsidP="00964958">
      <w:pPr>
        <w:pStyle w:val="Paragraphedeliste"/>
        <w:spacing w:after="200" w:line="276" w:lineRule="auto"/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</w:pPr>
    </w:p>
    <w:p w:rsidR="00964958" w:rsidRPr="00617711" w:rsidRDefault="00964958" w:rsidP="00964958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964958">
        <w:rPr>
          <w:rFonts w:ascii="Bookman Old Style" w:eastAsia="Calibri" w:hAnsi="Bookman Old Style"/>
          <w:sz w:val="22"/>
          <w:szCs w:val="22"/>
          <w:lang w:eastAsia="en-US"/>
        </w:rPr>
        <w:t xml:space="preserve">L’ARS finance </w:t>
      </w:r>
      <w:r w:rsidRPr="00964958">
        <w:rPr>
          <w:rFonts w:ascii="Bookman Old Style" w:eastAsia="Calibri" w:hAnsi="Bookman Old Style"/>
          <w:b/>
          <w:sz w:val="22"/>
          <w:szCs w:val="22"/>
          <w:lang w:eastAsia="en-US"/>
        </w:rPr>
        <w:t>80%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 du coû</w:t>
      </w:r>
      <w:r w:rsidRPr="00964958">
        <w:rPr>
          <w:rFonts w:ascii="Bookman Old Style" w:eastAsia="Calibri" w:hAnsi="Bookman Old Style"/>
          <w:sz w:val="22"/>
          <w:szCs w:val="22"/>
          <w:lang w:eastAsia="en-US"/>
        </w:rPr>
        <w:t xml:space="preserve">t du poste </w:t>
      </w:r>
      <w:r w:rsidR="00B059D5" w:rsidRPr="00617711">
        <w:rPr>
          <w:rFonts w:ascii="Bookman Old Style" w:eastAsia="Calibri" w:hAnsi="Bookman Old Style"/>
          <w:sz w:val="22"/>
          <w:szCs w:val="22"/>
          <w:lang w:eastAsia="en-US"/>
        </w:rPr>
        <w:t xml:space="preserve">(hors prime d’exercice territorial) </w:t>
      </w:r>
      <w:r w:rsidRPr="00617711">
        <w:rPr>
          <w:rFonts w:ascii="Bookman Old Style" w:eastAsia="Calibri" w:hAnsi="Bookman Old Style"/>
          <w:sz w:val="22"/>
          <w:szCs w:val="22"/>
          <w:lang w:eastAsia="en-US"/>
        </w:rPr>
        <w:t xml:space="preserve">pour </w:t>
      </w:r>
      <w:r w:rsidRPr="00964958">
        <w:rPr>
          <w:rFonts w:ascii="Bookman Old Style" w:eastAsia="Calibri" w:hAnsi="Bookman Old Style"/>
          <w:sz w:val="22"/>
          <w:szCs w:val="22"/>
          <w:lang w:eastAsia="en-US"/>
        </w:rPr>
        <w:t xml:space="preserve">les ASTP hôpital/ hôpital et les 20% sont à la charge des établissements de santé partenaires, 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réparties équitablement selon la quotité </w:t>
      </w:r>
      <w:r w:rsidR="00B059D5" w:rsidRPr="00617711">
        <w:rPr>
          <w:rFonts w:ascii="Bookman Old Style" w:eastAsia="Calibri" w:hAnsi="Bookman Old Style"/>
          <w:sz w:val="22"/>
          <w:szCs w:val="22"/>
          <w:lang w:eastAsia="en-US"/>
        </w:rPr>
        <w:t>de répartition du temps de travail</w:t>
      </w:r>
      <w:r w:rsidRPr="00617711">
        <w:rPr>
          <w:rFonts w:ascii="Bookman Old Style" w:eastAsia="Calibri" w:hAnsi="Bookman Old Style"/>
          <w:sz w:val="22"/>
          <w:szCs w:val="22"/>
          <w:lang w:eastAsia="en-US"/>
        </w:rPr>
        <w:t xml:space="preserve">, </w:t>
      </w:r>
    </w:p>
    <w:p w:rsidR="001F3115" w:rsidRPr="00964958" w:rsidRDefault="00964958" w:rsidP="001F3115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964958">
        <w:rPr>
          <w:rFonts w:ascii="Bookman Old Style" w:eastAsia="Calibri" w:hAnsi="Bookman Old Style"/>
          <w:sz w:val="22"/>
          <w:szCs w:val="22"/>
          <w:lang w:eastAsia="en-US"/>
        </w:rPr>
        <w:t xml:space="preserve">L’ARS finance </w:t>
      </w:r>
      <w:r w:rsidRPr="00964958">
        <w:rPr>
          <w:rFonts w:ascii="Bookman Old Style" w:eastAsia="Calibri" w:hAnsi="Bookman Old Style"/>
          <w:b/>
          <w:sz w:val="22"/>
          <w:szCs w:val="22"/>
          <w:lang w:eastAsia="en-US"/>
        </w:rPr>
        <w:t>90%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 du coû</w:t>
      </w:r>
      <w:r w:rsidRPr="00964958">
        <w:rPr>
          <w:rFonts w:ascii="Bookman Old Style" w:eastAsia="Calibri" w:hAnsi="Bookman Old Style"/>
          <w:sz w:val="22"/>
          <w:szCs w:val="22"/>
          <w:lang w:eastAsia="en-US"/>
        </w:rPr>
        <w:t xml:space="preserve">t du poste </w:t>
      </w:r>
      <w:r w:rsidR="00B059D5">
        <w:rPr>
          <w:rFonts w:ascii="Bookman Old Style" w:eastAsia="Calibri" w:hAnsi="Bookman Old Style"/>
          <w:sz w:val="22"/>
          <w:szCs w:val="22"/>
          <w:lang w:eastAsia="en-US"/>
        </w:rPr>
        <w:t xml:space="preserve">(et de la prime d’exercice territorial) </w:t>
      </w:r>
      <w:r w:rsidRPr="00964958">
        <w:rPr>
          <w:rFonts w:ascii="Bookman Old Style" w:eastAsia="Calibri" w:hAnsi="Bookman Old Style"/>
          <w:sz w:val="22"/>
          <w:szCs w:val="22"/>
          <w:lang w:eastAsia="en-US"/>
        </w:rPr>
        <w:t xml:space="preserve">pour les ASTP ville/ hôpital et les 10% </w:t>
      </w:r>
      <w:r w:rsidR="00B059D5" w:rsidRPr="00617711">
        <w:rPr>
          <w:rFonts w:ascii="Bookman Old Style" w:eastAsia="Calibri" w:hAnsi="Bookman Old Style"/>
          <w:sz w:val="22"/>
          <w:szCs w:val="22"/>
          <w:lang w:eastAsia="en-US"/>
        </w:rPr>
        <w:t xml:space="preserve">restants </w:t>
      </w:r>
      <w:r w:rsidRPr="00617711">
        <w:rPr>
          <w:rFonts w:ascii="Bookman Old Style" w:eastAsia="Calibri" w:hAnsi="Bookman Old Style"/>
          <w:sz w:val="22"/>
          <w:szCs w:val="22"/>
          <w:lang w:eastAsia="en-US"/>
        </w:rPr>
        <w:t xml:space="preserve">sont </w:t>
      </w:r>
      <w:r w:rsidRPr="00964958">
        <w:rPr>
          <w:rFonts w:ascii="Bookman Old Style" w:eastAsia="Calibri" w:hAnsi="Bookman Old Style"/>
          <w:sz w:val="22"/>
          <w:szCs w:val="22"/>
          <w:lang w:eastAsia="en-US"/>
        </w:rPr>
        <w:t xml:space="preserve">à la charge de </w:t>
      </w:r>
      <w:r>
        <w:rPr>
          <w:rFonts w:ascii="Bookman Old Style" w:eastAsia="Calibri" w:hAnsi="Bookman Old Style"/>
          <w:sz w:val="22"/>
          <w:szCs w:val="22"/>
          <w:lang w:eastAsia="en-US"/>
        </w:rPr>
        <w:t>l’</w:t>
      </w:r>
      <w:r w:rsidRPr="00964958">
        <w:rPr>
          <w:rFonts w:ascii="Bookman Old Style" w:eastAsia="Calibri" w:hAnsi="Bookman Old Style"/>
          <w:sz w:val="22"/>
          <w:szCs w:val="22"/>
          <w:lang w:eastAsia="en-US"/>
        </w:rPr>
        <w:t>établissement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 de santé partenaire</w:t>
      </w:r>
      <w:r w:rsidRPr="00964958">
        <w:rPr>
          <w:rFonts w:ascii="Bookman Old Style" w:eastAsia="Calibri" w:hAnsi="Bookman Old Style"/>
          <w:sz w:val="22"/>
          <w:szCs w:val="22"/>
          <w:lang w:eastAsia="en-US"/>
        </w:rPr>
        <w:t xml:space="preserve">,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1F3115" w:rsidTr="004806D9">
        <w:tc>
          <w:tcPr>
            <w:tcW w:w="3227" w:type="dxa"/>
          </w:tcPr>
          <w:p w:rsidR="001F3115" w:rsidRPr="00F85A8C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2914" w:type="dxa"/>
          </w:tcPr>
          <w:p w:rsidR="001F3115" w:rsidRPr="00F85A8C" w:rsidRDefault="001F3115" w:rsidP="004806D9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18"/>
                <w:szCs w:val="18"/>
                <w:lang w:eastAsia="en-US"/>
              </w:rPr>
            </w:pPr>
            <w:r w:rsidRPr="00F85A8C">
              <w:rPr>
                <w:rFonts w:ascii="Bookman Old Style" w:eastAsia="Calibri" w:hAnsi="Bookman Old Style"/>
                <w:b/>
                <w:color w:val="76923C" w:themeColor="accent3" w:themeShade="BF"/>
                <w:sz w:val="18"/>
                <w:szCs w:val="18"/>
                <w:lang w:eastAsia="en-US"/>
              </w:rPr>
              <w:t>ASTP ville/hôpital</w:t>
            </w:r>
          </w:p>
        </w:tc>
        <w:tc>
          <w:tcPr>
            <w:tcW w:w="3071" w:type="dxa"/>
          </w:tcPr>
          <w:p w:rsidR="001F3115" w:rsidRPr="00F85A8C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b/>
                <w:sz w:val="18"/>
                <w:szCs w:val="18"/>
                <w:lang w:eastAsia="en-US"/>
              </w:rPr>
            </w:pPr>
            <w:r w:rsidRPr="00F85A8C">
              <w:rPr>
                <w:rFonts w:ascii="Bookman Old Style" w:eastAsia="Calibri" w:hAnsi="Bookman Old Style"/>
                <w:b/>
                <w:color w:val="17365D" w:themeColor="text2" w:themeShade="BF"/>
                <w:sz w:val="18"/>
                <w:szCs w:val="18"/>
                <w:lang w:eastAsia="en-US"/>
              </w:rPr>
              <w:t>ASTP hôpital/hôpital</w:t>
            </w:r>
          </w:p>
        </w:tc>
      </w:tr>
      <w:tr w:rsidR="001F3115" w:rsidTr="004806D9">
        <w:tc>
          <w:tcPr>
            <w:tcW w:w="3227" w:type="dxa"/>
          </w:tcPr>
          <w:p w:rsidR="001F3115" w:rsidRPr="00F85A8C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Emoluments d’un poste assistant spécialiste de 1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vertAlign w:val="superscript"/>
                <w:lang w:eastAsia="en-US"/>
              </w:rPr>
              <w:t>ère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ou 2eme année</w:t>
            </w:r>
          </w:p>
        </w:tc>
        <w:tc>
          <w:tcPr>
            <w:tcW w:w="2914" w:type="dxa"/>
          </w:tcPr>
          <w:p w:rsidR="001F3115" w:rsidRPr="00F85A8C" w:rsidRDefault="001F3115" w:rsidP="00B059D5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L’ARS </w:t>
            </w:r>
            <w:r w:rsidRPr="00617711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verse </w:t>
            </w:r>
            <w:r w:rsidR="00B059D5" w:rsidRPr="00617711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</w:t>
            </w:r>
            <w:r w:rsidRPr="00617711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</w:t>
            </w: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% de 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2 668€ brut mensuel </w:t>
            </w:r>
          </w:p>
        </w:tc>
        <w:tc>
          <w:tcPr>
            <w:tcW w:w="3071" w:type="dxa"/>
          </w:tcPr>
          <w:p w:rsidR="001F3115" w:rsidRPr="00F85A8C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L’ARS verse 80% de 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2 668€ brut mensuel</w:t>
            </w:r>
          </w:p>
        </w:tc>
      </w:tr>
      <w:tr w:rsidR="001F3115" w:rsidTr="004806D9">
        <w:trPr>
          <w:trHeight w:val="1249"/>
        </w:trPr>
        <w:tc>
          <w:tcPr>
            <w:tcW w:w="3227" w:type="dxa"/>
          </w:tcPr>
          <w:p w:rsidR="001F3115" w:rsidRPr="00F85A8C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La prime d’exercice territorial </w:t>
            </w:r>
          </w:p>
        </w:tc>
        <w:tc>
          <w:tcPr>
            <w:tcW w:w="2914" w:type="dxa"/>
          </w:tcPr>
          <w:p w:rsidR="001F3115" w:rsidRPr="00964958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L’ARS </w:t>
            </w:r>
            <w:r w:rsidRPr="00617711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verse </w:t>
            </w:r>
            <w:r w:rsidR="00B059D5" w:rsidRPr="00617711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</w:t>
            </w:r>
            <w:r w:rsidRPr="00617711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</w:t>
            </w: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% de 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1 000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vertAlign w:val="superscript"/>
                <w:lang w:eastAsia="en-US"/>
              </w:rPr>
              <w:t>e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brut mensuel (</w:t>
            </w:r>
            <w:r w:rsidRPr="00964958">
              <w:rPr>
                <w:rFonts w:ascii="Bookman Old Style" w:eastAsia="Calibri" w:hAnsi="Bookman Old Style"/>
                <w:color w:val="00B050"/>
                <w:sz w:val="18"/>
                <w:szCs w:val="18"/>
                <w:lang w:eastAsia="en-US"/>
              </w:rPr>
              <w:t>lorsque 50% de l’exercice est effectué au sein de la structure ambulatoire sous forme de consultations avancées</w:t>
            </w:r>
            <w:r w:rsidRPr="0096495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)</w:t>
            </w:r>
            <w:r w:rsidR="00D50AFA" w:rsidRPr="00964958">
              <w:rPr>
                <w:rFonts w:ascii="Bookman Old Style" w:eastAsia="Calibri" w:hAnsi="Bookman Old Style"/>
                <w:color w:val="FF0000"/>
                <w:sz w:val="18"/>
                <w:szCs w:val="18"/>
                <w:lang w:eastAsia="en-US"/>
              </w:rPr>
              <w:t> </w:t>
            </w:r>
            <w:r w:rsidR="00AC5EA2" w:rsidRPr="00964958">
              <w:rPr>
                <w:rFonts w:ascii="Bookman Old Style" w:eastAsia="Calibri" w:hAnsi="Bookman Old Style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4125E2" w:rsidRPr="00F85A8C" w:rsidRDefault="004125E2" w:rsidP="004125E2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71" w:type="dxa"/>
          </w:tcPr>
          <w:p w:rsidR="001F3115" w:rsidRPr="00F85A8C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L’ ARS verse 80% de 420</w:t>
            </w:r>
            <w:r>
              <w:rPr>
                <w:rFonts w:ascii="Bookman Old Style" w:eastAsia="Calibri" w:hAnsi="Bookman Old Style"/>
                <w:sz w:val="18"/>
                <w:szCs w:val="18"/>
                <w:vertAlign w:val="superscript"/>
                <w:lang w:eastAsia="en-US"/>
              </w:rPr>
              <w:t xml:space="preserve">€ </w:t>
            </w:r>
            <w:r w:rsidRPr="00B36549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en participation à la</w:t>
            </w: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prime d’exercice territorial fonction de la répartition.</w:t>
            </w:r>
            <w:r>
              <w:rPr>
                <w:rFonts w:ascii="Bookman Old Style" w:eastAsia="Calibri" w:hAnsi="Bookman Old Style"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</w:tc>
      </w:tr>
      <w:tr w:rsidR="001F3115" w:rsidTr="004806D9">
        <w:tc>
          <w:tcPr>
            <w:tcW w:w="3227" w:type="dxa"/>
          </w:tcPr>
          <w:p w:rsidR="001F3115" w:rsidRPr="00F85A8C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L’indemnité d’engagement de service public exclusif IESPE)</w:t>
            </w:r>
          </w:p>
        </w:tc>
        <w:tc>
          <w:tcPr>
            <w:tcW w:w="2914" w:type="dxa"/>
          </w:tcPr>
          <w:p w:rsidR="001F3115" w:rsidRPr="00F85A8C" w:rsidRDefault="001F3115" w:rsidP="00B059D5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L’ARS verse </w:t>
            </w:r>
            <w:r w:rsidR="00B059D5" w:rsidRPr="00B059D5">
              <w:rPr>
                <w:rFonts w:ascii="Bookman Old Style" w:eastAsia="Calibri" w:hAnsi="Bookman Old Style"/>
                <w:color w:val="00B050"/>
                <w:sz w:val="18"/>
                <w:szCs w:val="18"/>
                <w:lang w:eastAsia="en-US"/>
              </w:rPr>
              <w:t>9</w:t>
            </w: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0% de </w:t>
            </w:r>
            <w:r w:rsidR="001865CF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1010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€ brut mensuel</w:t>
            </w:r>
          </w:p>
        </w:tc>
        <w:tc>
          <w:tcPr>
            <w:tcW w:w="3071" w:type="dxa"/>
          </w:tcPr>
          <w:p w:rsidR="001F3115" w:rsidRPr="00F85A8C" w:rsidRDefault="00D05F98" w:rsidP="004806D9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L’ARS verse 80% de </w:t>
            </w:r>
            <w:r w:rsidR="001865CF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1010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€ brut mensuel</w:t>
            </w:r>
          </w:p>
        </w:tc>
      </w:tr>
      <w:tr w:rsidR="001F3115" w:rsidTr="004806D9">
        <w:trPr>
          <w:trHeight w:val="346"/>
        </w:trPr>
        <w:tc>
          <w:tcPr>
            <w:tcW w:w="3227" w:type="dxa"/>
          </w:tcPr>
          <w:p w:rsidR="001F3115" w:rsidRPr="00F85A8C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Le taux de charges employeurs </w:t>
            </w:r>
          </w:p>
        </w:tc>
        <w:tc>
          <w:tcPr>
            <w:tcW w:w="2914" w:type="dxa"/>
          </w:tcPr>
          <w:p w:rsidR="001F3115" w:rsidRPr="00F85A8C" w:rsidRDefault="001F3115" w:rsidP="00B059D5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L’ARS verse </w:t>
            </w:r>
            <w:r w:rsidR="00B059D5" w:rsidRPr="00B059D5">
              <w:rPr>
                <w:rFonts w:ascii="Bookman Old Style" w:eastAsia="Calibri" w:hAnsi="Bookman Old Style"/>
                <w:color w:val="00B050"/>
                <w:sz w:val="18"/>
                <w:szCs w:val="18"/>
                <w:lang w:eastAsia="en-US"/>
              </w:rPr>
              <w:t>9</w:t>
            </w: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0% des 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44%</w:t>
            </w: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de charges</w:t>
            </w:r>
          </w:p>
        </w:tc>
        <w:tc>
          <w:tcPr>
            <w:tcW w:w="3071" w:type="dxa"/>
          </w:tcPr>
          <w:p w:rsidR="001F3115" w:rsidRPr="00F85A8C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L’ARS verse 80% des </w:t>
            </w:r>
            <w:r w:rsidRPr="00F85A8C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44%</w:t>
            </w: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de charges</w:t>
            </w:r>
          </w:p>
        </w:tc>
      </w:tr>
    </w:tbl>
    <w:p w:rsidR="001F3115" w:rsidRPr="000945D3" w:rsidRDefault="001F3115" w:rsidP="001F3115">
      <w:pPr>
        <w:spacing w:after="200" w:line="276" w:lineRule="auto"/>
        <w:rPr>
          <w:rFonts w:ascii="Bookman Old Style" w:eastAsia="Calibri" w:hAnsi="Bookman Old Style"/>
          <w:i/>
          <w:sz w:val="22"/>
          <w:szCs w:val="22"/>
          <w:lang w:eastAsia="en-US"/>
        </w:rPr>
      </w:pPr>
      <w:r w:rsidRPr="000945D3">
        <w:rPr>
          <w:rFonts w:ascii="Bookman Old Style" w:eastAsia="Calibri" w:hAnsi="Bookman Old Style"/>
          <w:i/>
          <w:sz w:val="22"/>
          <w:szCs w:val="22"/>
          <w:lang w:eastAsia="en-US"/>
        </w:rPr>
        <w:t>Pour rappel, financement uniquement de la rémunération, pas de matériel.</w:t>
      </w:r>
    </w:p>
    <w:p w:rsidR="00B059D5" w:rsidRDefault="00B059D5" w:rsidP="001F3115">
      <w:p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1F3115" w:rsidRDefault="001865CF" w:rsidP="001F3115">
      <w:p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>
        <w:rPr>
          <w:rFonts w:ascii="Bookman Old Style" w:eastAsia="Calibri" w:hAnsi="Bookman Old Style"/>
          <w:sz w:val="22"/>
          <w:szCs w:val="22"/>
          <w:lang w:eastAsia="en-US"/>
        </w:rPr>
        <w:t>En PACA, en 2020</w:t>
      </w:r>
      <w:r w:rsidR="001F3115">
        <w:rPr>
          <w:rFonts w:ascii="Bookman Old Style" w:eastAsia="Calibri" w:hAnsi="Bookman Old Style"/>
          <w:sz w:val="22"/>
          <w:szCs w:val="22"/>
          <w:lang w:eastAsia="en-US"/>
        </w:rPr>
        <w:t xml:space="preserve">, les financements fléchés par le </w:t>
      </w:r>
      <w:r w:rsidR="00640FB1">
        <w:rPr>
          <w:rFonts w:ascii="Bookman Old Style" w:eastAsia="Calibri" w:hAnsi="Bookman Old Style"/>
          <w:sz w:val="22"/>
          <w:szCs w:val="22"/>
          <w:lang w:eastAsia="en-US"/>
        </w:rPr>
        <w:t>Ministère permettaient</w:t>
      </w:r>
      <w:r w:rsidR="001F3115">
        <w:rPr>
          <w:rFonts w:ascii="Bookman Old Style" w:eastAsia="Calibri" w:hAnsi="Bookman Old Style"/>
          <w:sz w:val="22"/>
          <w:szCs w:val="22"/>
          <w:lang w:eastAsia="en-US"/>
        </w:rPr>
        <w:t xml:space="preserve"> le financement de :</w:t>
      </w:r>
    </w:p>
    <w:p w:rsidR="001F3115" w:rsidRPr="006A508C" w:rsidRDefault="001F3115" w:rsidP="001F31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6A508C">
        <w:rPr>
          <w:rFonts w:ascii="Bookman Old Style" w:eastAsia="Calibri" w:hAnsi="Bookman Old Style"/>
          <w:sz w:val="22"/>
          <w:szCs w:val="22"/>
          <w:lang w:eastAsia="en-US"/>
        </w:rPr>
        <w:t>12 postes ASTP entre établissements de santé</w:t>
      </w:r>
    </w:p>
    <w:p w:rsidR="001F3115" w:rsidRPr="006A508C" w:rsidRDefault="007C5666" w:rsidP="001F31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="001F3115" w:rsidRPr="006A508C">
        <w:rPr>
          <w:rFonts w:ascii="Bookman Old Style" w:eastAsia="Calibri" w:hAnsi="Bookman Old Style"/>
          <w:sz w:val="22"/>
          <w:szCs w:val="22"/>
          <w:lang w:eastAsia="en-US"/>
        </w:rPr>
        <w:t xml:space="preserve"> postes ASTP ambulatoires.</w:t>
      </w:r>
    </w:p>
    <w:p w:rsidR="001F3115" w:rsidRDefault="001F3115" w:rsidP="001F3115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>
        <w:rPr>
          <w:rFonts w:ascii="Bookman Old Style" w:eastAsia="Calibri" w:hAnsi="Bookman Old Style"/>
          <w:sz w:val="22"/>
          <w:szCs w:val="22"/>
          <w:lang w:eastAsia="en-US"/>
        </w:rPr>
        <w:lastRenderedPageBreak/>
        <w:t xml:space="preserve">L’ARS PACA </w:t>
      </w:r>
      <w:r w:rsidR="00A02A75">
        <w:rPr>
          <w:rFonts w:ascii="Bookman Old Style" w:eastAsia="Calibri" w:hAnsi="Bookman Old Style"/>
          <w:sz w:val="22"/>
          <w:szCs w:val="22"/>
          <w:lang w:eastAsia="en-US"/>
        </w:rPr>
        <w:t>continue sa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 politique volontariste de développement des ASTP et a </w:t>
      </w:r>
      <w:r w:rsidR="00D50AFA">
        <w:rPr>
          <w:rFonts w:ascii="Bookman Old Style" w:eastAsia="Calibri" w:hAnsi="Bookman Old Style"/>
          <w:sz w:val="22"/>
          <w:szCs w:val="22"/>
          <w:lang w:eastAsia="en-US"/>
        </w:rPr>
        <w:t xml:space="preserve">encore </w:t>
      </w:r>
      <w:r>
        <w:rPr>
          <w:rFonts w:ascii="Bookman Old Style" w:eastAsia="Calibri" w:hAnsi="Bookman Old Style"/>
          <w:sz w:val="22"/>
          <w:szCs w:val="22"/>
          <w:lang w:eastAsia="en-US"/>
        </w:rPr>
        <w:t>mo</w:t>
      </w:r>
      <w:r w:rsidR="000E009D">
        <w:rPr>
          <w:rFonts w:ascii="Bookman Old Style" w:eastAsia="Calibri" w:hAnsi="Bookman Old Style"/>
          <w:sz w:val="22"/>
          <w:szCs w:val="22"/>
          <w:lang w:eastAsia="en-US"/>
        </w:rPr>
        <w:t>bilisé</w:t>
      </w:r>
      <w:r w:rsidR="001865CF">
        <w:rPr>
          <w:rFonts w:ascii="Bookman Old Style" w:eastAsia="Calibri" w:hAnsi="Bookman Old Style"/>
          <w:sz w:val="22"/>
          <w:szCs w:val="22"/>
          <w:lang w:eastAsia="en-US"/>
        </w:rPr>
        <w:t xml:space="preserve"> en 2020</w:t>
      </w:r>
      <w:r w:rsidR="00D50AFA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8C4072">
        <w:rPr>
          <w:rFonts w:ascii="Bookman Old Style" w:eastAsia="Calibri" w:hAnsi="Bookman Old Style"/>
          <w:sz w:val="22"/>
          <w:szCs w:val="22"/>
          <w:lang w:eastAsia="en-US"/>
        </w:rPr>
        <w:t xml:space="preserve">le </w:t>
      </w:r>
      <w:r w:rsidR="000E009D">
        <w:rPr>
          <w:rFonts w:ascii="Bookman Old Style" w:eastAsia="Calibri" w:hAnsi="Bookman Old Style"/>
          <w:sz w:val="22"/>
          <w:szCs w:val="22"/>
          <w:lang w:eastAsia="en-US"/>
        </w:rPr>
        <w:t>FIR</w:t>
      </w:r>
      <w:r w:rsidR="00D50AFA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pour financer </w:t>
      </w:r>
      <w:r w:rsidR="00D50AFA">
        <w:rPr>
          <w:rFonts w:ascii="Bookman Old Style" w:eastAsia="Calibri" w:hAnsi="Bookman Old Style"/>
          <w:sz w:val="22"/>
          <w:szCs w:val="22"/>
          <w:lang w:eastAsia="en-US"/>
        </w:rPr>
        <w:t>les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7C5666">
        <w:rPr>
          <w:rFonts w:ascii="Bookman Old Style" w:eastAsia="Calibri" w:hAnsi="Bookman Old Style"/>
          <w:sz w:val="22"/>
          <w:szCs w:val="22"/>
          <w:lang w:eastAsia="en-US"/>
        </w:rPr>
        <w:t>30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 postes d’ASTP </w:t>
      </w:r>
      <w:r w:rsidR="008C4072">
        <w:rPr>
          <w:rFonts w:ascii="Bookman Old Style" w:eastAsia="Calibri" w:hAnsi="Bookman Old Style"/>
          <w:sz w:val="22"/>
          <w:szCs w:val="22"/>
          <w:lang w:eastAsia="en-US"/>
        </w:rPr>
        <w:t>supplémentaires</w:t>
      </w:r>
      <w:r>
        <w:rPr>
          <w:rFonts w:ascii="Bookman Old Style" w:eastAsia="Calibri" w:hAnsi="Bookman Old Style"/>
          <w:sz w:val="22"/>
          <w:szCs w:val="22"/>
          <w:lang w:eastAsia="en-US"/>
        </w:rPr>
        <w:t>.</w:t>
      </w:r>
    </w:p>
    <w:p w:rsidR="004E46A2" w:rsidRPr="004125E2" w:rsidRDefault="004125E2" w:rsidP="00C4375E">
      <w:pPr>
        <w:spacing w:after="200" w:line="276" w:lineRule="auto"/>
        <w:rPr>
          <w:rFonts w:ascii="Bookman Old Style" w:eastAsia="Calibri" w:hAnsi="Bookman Old Style"/>
          <w:b/>
          <w:color w:val="00B050"/>
          <w:sz w:val="22"/>
          <w:szCs w:val="22"/>
          <w:lang w:eastAsia="en-US"/>
        </w:rPr>
      </w:pPr>
      <w:r w:rsidRPr="004125E2">
        <w:rPr>
          <w:rFonts w:ascii="Bookman Old Style" w:eastAsia="Calibri" w:hAnsi="Bookman Old Style"/>
          <w:b/>
          <w:color w:val="00B050"/>
          <w:sz w:val="22"/>
          <w:szCs w:val="22"/>
          <w:lang w:eastAsia="en-US"/>
        </w:rPr>
        <w:t>ATTENTION : l’ARS ne paiera qu’à compter de la réception de la convention de partage signée par les structures partenaires et l’ASTP</w:t>
      </w:r>
    </w:p>
    <w:p w:rsidR="00064312" w:rsidRPr="000945D3" w:rsidRDefault="00727E0A" w:rsidP="00727E0A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</w:pPr>
      <w:r w:rsidRPr="002F2855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LA STRATEGIE </w:t>
      </w:r>
      <w:r w:rsidR="00BE5F4A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 xml:space="preserve">relative aux ASTP </w:t>
      </w:r>
      <w:r w:rsidRPr="002F2855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20</w:t>
      </w:r>
      <w:r w:rsidR="001865CF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21</w:t>
      </w:r>
    </w:p>
    <w:p w:rsidR="000C7E58" w:rsidRPr="00617711" w:rsidRDefault="000C7E58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Ce </w:t>
      </w:r>
      <w:r w:rsidR="000945D3"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>dispositif</w:t>
      </w: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est en cohérence avec les orientations du PRS 2 et l’organisation de l’</w:t>
      </w:r>
      <w:r w:rsidR="00EF4285"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>offre de soin</w:t>
      </w: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à l’échelle régionale, </w:t>
      </w:r>
      <w:r w:rsidR="00B059D5"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ainsi qu’avec les </w:t>
      </w: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initiatives impliquant des structures situées dans des </w:t>
      </w:r>
      <w:r w:rsidR="001E06A5"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>zones déficitaires</w:t>
      </w: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dans les spécialités médicales concernées.</w:t>
      </w:r>
    </w:p>
    <w:p w:rsidR="001E06A5" w:rsidRPr="00617711" w:rsidRDefault="001E06A5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>La région PACA affiche les densités les plus fortes en France…..mais souffre de disparités territoriales qui s’aggravent.</w:t>
      </w:r>
    </w:p>
    <w:p w:rsidR="001E06A5" w:rsidRDefault="001E06A5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>De plus l’importance du secteur privé et de l’exercice libéral impose</w:t>
      </w:r>
      <w:r w:rsidR="00283F07"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>nt</w:t>
      </w: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une attention particulière </w:t>
      </w:r>
      <w:r w:rsidR="00B059D5"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à porter </w:t>
      </w:r>
      <w:r w:rsidRPr="0061771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sur les conditions 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d’accès aux soins.</w:t>
      </w:r>
    </w:p>
    <w:p w:rsidR="00E163F2" w:rsidRPr="00D57AAB" w:rsidRDefault="00E163F2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D57AAB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Stratégie spécifique ASTP hôpital/hôpital </w:t>
      </w:r>
    </w:p>
    <w:p w:rsidR="00283F07" w:rsidRPr="00D57AAB" w:rsidRDefault="00283F07" w:rsidP="00283F07">
      <w:pPr>
        <w:spacing w:after="200" w:line="276" w:lineRule="auto"/>
        <w:jc w:val="both"/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</w:pP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Pour les ASTP hôpital/hôpital, l’agence régionale de santé </w:t>
      </w:r>
      <w:r w:rsidR="00866A84"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>portera une attention particulière sur</w:t>
      </w: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les spécialités en tension </w:t>
      </w:r>
      <w:r w:rsidR="00FA4BB3"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>que sont</w:t>
      </w: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 : </w:t>
      </w:r>
      <w:r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l’anesthésie/réanimation,</w:t>
      </w:r>
      <w:r w:rsidR="00866A84"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 </w:t>
      </w:r>
      <w:r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la radiologie/imagerie, </w:t>
      </w:r>
      <w:r w:rsidR="00E163F2"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la </w:t>
      </w:r>
      <w:r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gériatrie/médecine interne, la psychiatrie</w:t>
      </w:r>
      <w:r w:rsidR="00866A84"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,</w:t>
      </w:r>
      <w:r w:rsidR="00415F2C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la gynécologie</w:t>
      </w:r>
      <w:r w:rsidR="00866A84"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-</w:t>
      </w:r>
      <w:r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obstétrique</w:t>
      </w:r>
      <w:r w:rsidR="001865CF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/pédiatrie</w:t>
      </w:r>
      <w:r w:rsidR="00866A84"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 et la médecine</w:t>
      </w:r>
      <w:r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 </w:t>
      </w:r>
      <w:r w:rsidR="00866A84"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d’</w:t>
      </w:r>
      <w:r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ur</w:t>
      </w:r>
      <w:r w:rsidR="00866A84"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gence</w:t>
      </w:r>
      <w:r w:rsidRPr="00D57AAB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.</w:t>
      </w:r>
    </w:p>
    <w:p w:rsidR="00FA4BB3" w:rsidRPr="00D57AAB" w:rsidRDefault="00FA4BB3" w:rsidP="00283F07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Les établissements périphériques qui présenteront des candidatures dans les spécialités en tension devront s’engager à proposer à </w:t>
      </w:r>
      <w:r w:rsidR="00112A9F"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>la fin des 2 années, un poste</w:t>
      </w: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aux ASTP. </w:t>
      </w:r>
    </w:p>
    <w:p w:rsidR="00BE5F4A" w:rsidRPr="00D57AAB" w:rsidRDefault="00BE5F4A" w:rsidP="00BE5F4A">
      <w:p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</w:pPr>
      <w:r w:rsidRPr="00D57AAB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Straté</w:t>
      </w:r>
      <w:r w:rsidR="00453E34" w:rsidRPr="00D57AAB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gie spécifique </w:t>
      </w:r>
      <w:r w:rsidR="001B0F85" w:rsidRPr="00D57AAB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ASTP ville/</w:t>
      </w:r>
      <w:r w:rsidR="00453E34" w:rsidRPr="00D57AAB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hô</w:t>
      </w:r>
      <w:r w:rsidRPr="00D57AAB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pital : </w:t>
      </w:r>
    </w:p>
    <w:p w:rsidR="00BE5F4A" w:rsidRPr="00D57AAB" w:rsidRDefault="00BE5F4A" w:rsidP="00BE5F4A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La stratégie de l’ARS PACA s’inscrit dans le plan </w:t>
      </w:r>
      <w:r w:rsidRPr="00D57AAB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Ma santé 2022</w:t>
      </w: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D50AFA"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>avec</w:t>
      </w: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la </w:t>
      </w:r>
      <w:r w:rsidR="00D50AFA"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mise en œuvre du dispositif </w:t>
      </w: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>de</w:t>
      </w:r>
      <w:r w:rsidR="00D50AFA"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>s</w:t>
      </w: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400 postes de médecins généralistes à exercice temps partagé ville hôpital au niveau national </w:t>
      </w:r>
    </w:p>
    <w:p w:rsidR="00D50AFA" w:rsidRPr="00D57AAB" w:rsidRDefault="00D50AFA" w:rsidP="00BE5F4A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>Pour l’exercice mixte ville/hôpital, l’ARS favorisera les spécialités hors médecine générale</w:t>
      </w:r>
      <w:r w:rsidR="004125E2"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>. Par contre, la médecine générale sera</w:t>
      </w:r>
      <w:r w:rsidR="00732768"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privilégiée dans le cadre du dispositif des 400.  </w:t>
      </w:r>
    </w:p>
    <w:p w:rsidR="00E163F2" w:rsidRPr="00D57AAB" w:rsidRDefault="00E163F2" w:rsidP="00E163F2">
      <w:p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D57AAB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Territorialement dans les deux cas de figure</w:t>
      </w:r>
      <w:r w:rsidR="00FA4BB3" w:rsidRPr="00D57AAB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(ville/hôpital ou hôpital/hôpital)</w:t>
      </w:r>
      <w:r w:rsidRPr="00D57AAB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, l’ARS favorisera les établissements périphériques, les départements alpins, le Vaucluse et l’arrière-pays niçois ainsi que les territoires en zone d’intervention prioritaire (ZIP) </w:t>
      </w:r>
      <w:r w:rsidR="00FA4BB3" w:rsidRPr="00D57AAB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ou</w:t>
      </w:r>
      <w:r w:rsidRPr="00D57AAB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zone d’action complémentaire (ZAC).</w:t>
      </w:r>
    </w:p>
    <w:p w:rsidR="00E137F3" w:rsidRDefault="00E137F3" w:rsidP="00D57AAB">
      <w:pPr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1865CF" w:rsidRPr="00617711" w:rsidRDefault="00FA4BB3" w:rsidP="00617711">
      <w:pPr>
        <w:rPr>
          <w:rFonts w:ascii="Bookman Old Style" w:hAnsi="Bookman Old Style"/>
        </w:rPr>
      </w:pP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>L’objectif prioritaire est de développer les ASTP hors des CHU, en privilégiant les ASTP entre établissements périphériques</w:t>
      </w:r>
      <w:r w:rsidR="00D57AAB"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D57AAB" w:rsidRPr="00D57AAB">
        <w:rPr>
          <w:rFonts w:ascii="Bookman Old Style" w:hAnsi="Bookman Old Style"/>
        </w:rPr>
        <w:t>et en priorité dans les zones médicales sous denses</w:t>
      </w:r>
      <w:r w:rsidRPr="00D57AA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.  </w:t>
      </w:r>
    </w:p>
    <w:tbl>
      <w:tblPr>
        <w:tblStyle w:val="Colonnesdetableau5"/>
        <w:tblpPr w:leftFromText="141" w:rightFromText="141" w:horzAnchor="margin" w:tblpY="-584"/>
        <w:tblW w:w="9442" w:type="dxa"/>
        <w:tblLook w:val="0000" w:firstRow="0" w:lastRow="0" w:firstColumn="0" w:lastColumn="0" w:noHBand="0" w:noVBand="0"/>
      </w:tblPr>
      <w:tblGrid>
        <w:gridCol w:w="9442"/>
      </w:tblGrid>
      <w:tr w:rsidR="009D2486" w:rsidTr="00C7499F">
        <w:trPr>
          <w:trHeight w:val="1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2" w:type="dxa"/>
          </w:tcPr>
          <w:p w:rsidR="009D2486" w:rsidRDefault="009D2486" w:rsidP="009D2486">
            <w:pPr>
              <w:spacing w:after="200" w:line="276" w:lineRule="auto"/>
              <w:ind w:left="59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eastAsia="en-US"/>
              </w:rPr>
            </w:pPr>
            <w:r w:rsidRPr="001865CF">
              <w:rPr>
                <w:rFonts w:ascii="Bookman Old Style" w:eastAsia="Calibri" w:hAnsi="Bookman Old Style"/>
                <w:bCs/>
                <w:sz w:val="22"/>
                <w:szCs w:val="22"/>
                <w:lang w:eastAsia="en-US"/>
              </w:rPr>
              <w:lastRenderedPageBreak/>
              <w:t>En accord avec la faculté de Médecine de Marseille</w:t>
            </w:r>
            <w:r>
              <w:rPr>
                <w:rFonts w:ascii="Bookman Old Style" w:eastAsia="Calibri" w:hAnsi="Bookman Old Style"/>
                <w:bCs/>
                <w:sz w:val="22"/>
                <w:szCs w:val="22"/>
                <w:lang w:eastAsia="en-US"/>
              </w:rPr>
              <w:t xml:space="preserve"> : </w:t>
            </w:r>
            <w:r w:rsidRPr="001865CF">
              <w:rPr>
                <w:rFonts w:ascii="Bookman Old Style" w:eastAsia="Calibri" w:hAnsi="Bookman Old Style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D2486" w:rsidRDefault="009D2486" w:rsidP="009D2486">
            <w:pPr>
              <w:pStyle w:val="Paragraphedeliste"/>
              <w:numPr>
                <w:ilvl w:val="0"/>
                <w:numId w:val="30"/>
              </w:numPr>
              <w:spacing w:after="200" w:line="276" w:lineRule="auto"/>
              <w:ind w:left="779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eastAsia="en-US"/>
              </w:rPr>
            </w:pPr>
            <w:r w:rsidRPr="001865CF">
              <w:rPr>
                <w:rFonts w:ascii="Bookman Old Style" w:eastAsia="Calibri" w:hAnsi="Bookman Old Style"/>
                <w:bCs/>
                <w:sz w:val="22"/>
                <w:szCs w:val="22"/>
                <w:lang w:eastAsia="en-US"/>
              </w:rPr>
              <w:t>les candidats au dispositif des ASTP ne pourront pas concourir à un poste de chef de clinique assistant (CCA)</w:t>
            </w:r>
          </w:p>
          <w:p w:rsidR="009D2486" w:rsidRDefault="009D2486" w:rsidP="009D2486">
            <w:pPr>
              <w:pStyle w:val="Paragraphedeliste"/>
              <w:numPr>
                <w:ilvl w:val="0"/>
                <w:numId w:val="30"/>
              </w:numPr>
              <w:spacing w:after="200" w:line="276" w:lineRule="auto"/>
              <w:ind w:left="779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eastAsia="en-US"/>
              </w:rPr>
            </w:pPr>
            <w:r w:rsidRPr="001865CF">
              <w:rPr>
                <w:rFonts w:ascii="Bookman Old Style" w:eastAsia="Calibri" w:hAnsi="Bookman Old Style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man Old Style" w:eastAsia="Calibri" w:hAnsi="Bookman Old Style"/>
                <w:bCs/>
                <w:sz w:val="22"/>
                <w:szCs w:val="22"/>
                <w:lang w:eastAsia="en-US"/>
              </w:rPr>
              <w:t>les ASTP retenus pour la promotion 2021-2023 ne verront pas leur candidature de CCA instruite durant leur contrat</w:t>
            </w:r>
          </w:p>
        </w:tc>
      </w:tr>
    </w:tbl>
    <w:p w:rsidR="001865CF" w:rsidRPr="009D2486" w:rsidRDefault="001865CF" w:rsidP="009D2486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0945D3" w:rsidRPr="00BE5F4A" w:rsidRDefault="00BE5F4A" w:rsidP="00BE5F4A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</w:pPr>
      <w:r w:rsidRPr="00BE5F4A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MODUS OPERATIONNEL :</w:t>
      </w:r>
    </w:p>
    <w:p w:rsidR="00727E0A" w:rsidRDefault="00727E0A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Lancement d’un AAP dès février 20</w:t>
      </w:r>
      <w:r w:rsidR="001865CF">
        <w:rPr>
          <w:rFonts w:ascii="Bookman Old Style" w:eastAsia="Calibri" w:hAnsi="Bookman Old Style"/>
          <w:bCs/>
          <w:sz w:val="22"/>
          <w:szCs w:val="22"/>
          <w:lang w:eastAsia="en-US"/>
        </w:rPr>
        <w:t>21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avec retour </w:t>
      </w:r>
      <w:r w:rsidR="00BE5F4A">
        <w:rPr>
          <w:rFonts w:ascii="Bookman Old Style" w:eastAsia="Calibri" w:hAnsi="Bookman Old Style"/>
          <w:bCs/>
          <w:sz w:val="22"/>
          <w:szCs w:val="22"/>
          <w:lang w:eastAsia="en-US"/>
        </w:rPr>
        <w:t>au</w:t>
      </w:r>
      <w:r w:rsidR="000E009D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</w:t>
      </w:r>
      <w:r w:rsidR="001865C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30 avril 2021</w:t>
      </w:r>
      <w:r w:rsidR="00BE5F4A" w:rsidRPr="00FF350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</w:t>
      </w:r>
    </w:p>
    <w:p w:rsidR="00800D4E" w:rsidRDefault="00800D4E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E1714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Mise en place d’une commission régionale de priorisation/sélection </w:t>
      </w:r>
      <w:r w:rsidR="000E009D" w:rsidRPr="00E17147">
        <w:rPr>
          <w:rFonts w:ascii="Bookman Old Style" w:eastAsia="Calibri" w:hAnsi="Bookman Old Style"/>
          <w:bCs/>
          <w:sz w:val="22"/>
          <w:szCs w:val="22"/>
          <w:lang w:eastAsia="en-US"/>
        </w:rPr>
        <w:t>en</w:t>
      </w:r>
      <w:r w:rsidR="00FF350F" w:rsidRPr="00E1714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1865CF">
        <w:rPr>
          <w:rFonts w:ascii="Bookman Old Style" w:eastAsia="Calibri" w:hAnsi="Bookman Old Style"/>
          <w:bCs/>
          <w:sz w:val="22"/>
          <w:szCs w:val="22"/>
          <w:lang w:eastAsia="en-US"/>
        </w:rPr>
        <w:t>juin 2021</w:t>
      </w:r>
      <w:r w:rsidRPr="00E17147">
        <w:rPr>
          <w:rFonts w:ascii="Bookman Old Style" w:eastAsia="Calibri" w:hAnsi="Bookman Old Style"/>
          <w:bCs/>
          <w:sz w:val="22"/>
          <w:szCs w:val="22"/>
          <w:lang w:eastAsia="en-US"/>
        </w:rPr>
        <w:t> </w:t>
      </w:r>
      <w:r w:rsidR="00FF350F" w:rsidRPr="00E17147">
        <w:rPr>
          <w:rFonts w:ascii="Bookman Old Style" w:eastAsia="Calibri" w:hAnsi="Bookman Old Style"/>
          <w:bCs/>
          <w:sz w:val="22"/>
          <w:szCs w:val="22"/>
          <w:lang w:eastAsia="en-US"/>
        </w:rPr>
        <w:t>avec les représentants des CHU, de la FHF, des facultés.</w:t>
      </w:r>
    </w:p>
    <w:p w:rsidR="00FF350F" w:rsidRDefault="00FF350F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Critères de priorisation des candidatures :</w:t>
      </w:r>
    </w:p>
    <w:p w:rsidR="00FF350F" w:rsidRDefault="004D6257" w:rsidP="004D6257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Critères territoriaux et fonction des </w:t>
      </w:r>
      <w:r w:rsidR="00FF350F" w:rsidRPr="004D6257">
        <w:rPr>
          <w:rFonts w:ascii="Bookman Old Style" w:eastAsia="Calibri" w:hAnsi="Bookman Old Style"/>
          <w:bCs/>
          <w:sz w:val="22"/>
          <w:szCs w:val="22"/>
          <w:lang w:eastAsia="en-US"/>
        </w:rPr>
        <w:t>besoins identifiés dans le cadre des GHT</w:t>
      </w:r>
    </w:p>
    <w:p w:rsidR="004D6257" w:rsidRPr="00E17147" w:rsidRDefault="004D6257" w:rsidP="004D6257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E17147">
        <w:rPr>
          <w:rFonts w:ascii="Bookman Old Style" w:eastAsia="Calibri" w:hAnsi="Bookman Old Style"/>
          <w:bCs/>
          <w:sz w:val="22"/>
          <w:szCs w:val="22"/>
          <w:lang w:eastAsia="en-US"/>
        </w:rPr>
        <w:t>Critères liés aux spécialités</w:t>
      </w:r>
    </w:p>
    <w:p w:rsidR="00727E0A" w:rsidRDefault="002E317D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A priori, à l’issu</w:t>
      </w:r>
      <w:r w:rsidR="00E53CD3">
        <w:rPr>
          <w:rFonts w:ascii="Bookman Old Style" w:eastAsia="Calibri" w:hAnsi="Bookman Old Style"/>
          <w:bCs/>
          <w:sz w:val="22"/>
          <w:szCs w:val="22"/>
          <w:lang w:eastAsia="en-US"/>
        </w:rPr>
        <w:t>e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des 2 ans d’assistanat à temps partagé, l’établissement devrait proposer un poste pérenne de façon à maintenir et développer à long terme le travail initié lors de la période de post internat.</w:t>
      </w:r>
    </w:p>
    <w:p w:rsidR="00AB41A9" w:rsidRDefault="00AB41A9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727E0A" w:rsidRPr="00A66969" w:rsidRDefault="00727E0A" w:rsidP="00727E0A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2F2855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Le SUIVI/EVALUATION</w:t>
      </w:r>
    </w:p>
    <w:p w:rsidR="006A508C" w:rsidRDefault="004D6257" w:rsidP="002F2855">
      <w:pPr>
        <w:spacing w:after="200" w:line="276" w:lineRule="auto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Un q</w:t>
      </w:r>
      <w:r w:rsidR="00FF350F">
        <w:rPr>
          <w:rFonts w:ascii="Bookman Old Style" w:eastAsia="Calibri" w:hAnsi="Bookman Old Style"/>
          <w:bCs/>
          <w:sz w:val="22"/>
          <w:szCs w:val="22"/>
          <w:lang w:eastAsia="en-US"/>
        </w:rPr>
        <w:t>uestionnaire de suivi annuel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3C5D2E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succinct 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sera à renseigner</w:t>
      </w:r>
      <w:r w:rsidR="00AC5EA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afin de s’assurer que les ASTP vont réaliser leur deuxième année</w:t>
      </w:r>
    </w:p>
    <w:p w:rsidR="009D2486" w:rsidRDefault="009D2486" w:rsidP="002F2855">
      <w:pPr>
        <w:spacing w:after="200" w:line="276" w:lineRule="auto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9D2486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Un rapport </w:t>
      </w:r>
      <w:r w:rsidR="00617711">
        <w:rPr>
          <w:rFonts w:ascii="Bookman Old Style" w:eastAsia="Calibri" w:hAnsi="Bookman Old Style"/>
          <w:bCs/>
          <w:sz w:val="22"/>
          <w:szCs w:val="22"/>
          <w:lang w:eastAsia="en-US"/>
        </w:rPr>
        <w:t>d’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évaluation sera demandé aux ASTP à la fin de leur contrat (modèle ARS). </w:t>
      </w:r>
      <w:r w:rsidRPr="009D2486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</w:p>
    <w:p w:rsidR="002E317D" w:rsidRDefault="004D6257" w:rsidP="002F2855">
      <w:pPr>
        <w:spacing w:after="200" w:line="276" w:lineRule="auto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Une e</w:t>
      </w:r>
      <w:r w:rsidR="002E317D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nquête annuelle auprès des </w:t>
      </w:r>
      <w:r w:rsidR="00E53CD3">
        <w:rPr>
          <w:rFonts w:ascii="Bookman Old Style" w:eastAsia="Calibri" w:hAnsi="Bookman Old Style"/>
          <w:bCs/>
          <w:sz w:val="22"/>
          <w:szCs w:val="22"/>
          <w:lang w:eastAsia="en-US"/>
        </w:rPr>
        <w:t>structures d’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accueil</w:t>
      </w:r>
      <w:r w:rsidR="002E317D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sera menée </w:t>
      </w:r>
      <w:r w:rsidR="002E317D">
        <w:rPr>
          <w:rFonts w:ascii="Bookman Old Style" w:eastAsia="Calibri" w:hAnsi="Bookman Old Style"/>
          <w:bCs/>
          <w:sz w:val="22"/>
          <w:szCs w:val="22"/>
          <w:lang w:eastAsia="en-US"/>
        </w:rPr>
        <w:t>pour connaitre :</w:t>
      </w:r>
    </w:p>
    <w:p w:rsidR="002F2855" w:rsidRDefault="002E317D" w:rsidP="002E317D">
      <w:pPr>
        <w:spacing w:after="200" w:line="276" w:lineRule="auto"/>
        <w:ind w:firstLine="360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* les suites données aux contr</w:t>
      </w:r>
      <w:r w:rsidR="001E06A5">
        <w:rPr>
          <w:rFonts w:ascii="Bookman Old Style" w:eastAsia="Calibri" w:hAnsi="Bookman Old Style"/>
          <w:bCs/>
          <w:sz w:val="22"/>
          <w:szCs w:val="22"/>
          <w:lang w:eastAsia="en-US"/>
        </w:rPr>
        <w:t>ats des ASTP afin de vérifier qu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e cela a favorisé le recrutement des centres hospitaliers.</w:t>
      </w:r>
    </w:p>
    <w:p w:rsidR="004C4614" w:rsidRPr="00C95AA1" w:rsidRDefault="00FF350F" w:rsidP="00C95AA1">
      <w:pPr>
        <w:spacing w:after="200" w:line="276" w:lineRule="auto"/>
        <w:ind w:firstLine="360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* l’articulation entre les deux </w:t>
      </w:r>
      <w:r w:rsidR="00C95AA1">
        <w:rPr>
          <w:rFonts w:ascii="Bookman Old Style" w:eastAsia="Calibri" w:hAnsi="Bookman Old Style"/>
          <w:bCs/>
          <w:sz w:val="22"/>
          <w:szCs w:val="22"/>
          <w:lang w:eastAsia="en-US"/>
        </w:rPr>
        <w:t>structures d’accueil</w:t>
      </w:r>
    </w:p>
    <w:p w:rsidR="004C4614" w:rsidRDefault="004C4614" w:rsidP="001E2FED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:rsidR="004C4614" w:rsidRDefault="004C4614" w:rsidP="001E2FED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:rsidR="004C4614" w:rsidRDefault="004C4614" w:rsidP="001E2FED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:rsidR="004C4614" w:rsidRDefault="004C4614" w:rsidP="001E2FED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:rsidR="004C4614" w:rsidRDefault="004C4614" w:rsidP="001E2FED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sectPr w:rsidR="004C4614" w:rsidSect="009D2486"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4C" w:rsidRDefault="00E10E4C">
      <w:r>
        <w:separator/>
      </w:r>
    </w:p>
  </w:endnote>
  <w:endnote w:type="continuationSeparator" w:id="0">
    <w:p w:rsidR="00E10E4C" w:rsidRDefault="00E1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51" w:rsidRDefault="002F1651" w:rsidP="009E2730">
    <w:pPr>
      <w:pStyle w:val="Pieddepage"/>
      <w:rPr>
        <w:rFonts w:ascii="Arial" w:hAnsi="Arial" w:cs="Arial"/>
        <w:snapToGrid w:val="0"/>
        <w:sz w:val="20"/>
        <w:szCs w:val="20"/>
      </w:rPr>
    </w:pPr>
  </w:p>
  <w:p w:rsidR="002F1651" w:rsidRDefault="002F1651" w:rsidP="009E2730">
    <w:pPr>
      <w:pStyle w:val="Pieddepage"/>
      <w:rPr>
        <w:rStyle w:val="Numrodepage"/>
        <w:rFonts w:ascii="Arial" w:hAnsi="Arial" w:cs="Arial"/>
        <w:sz w:val="20"/>
        <w:szCs w:val="20"/>
      </w:rPr>
    </w:pPr>
    <w:r w:rsidRPr="00C64F00">
      <w:rPr>
        <w:rFonts w:ascii="Arial" w:hAnsi="Arial" w:cs="Arial"/>
        <w:snapToGrid w:val="0"/>
        <w:sz w:val="20"/>
        <w:szCs w:val="20"/>
      </w:rPr>
      <w:tab/>
    </w:r>
    <w:r w:rsidRPr="00C64F00">
      <w:rPr>
        <w:rFonts w:ascii="Arial" w:hAnsi="Arial" w:cs="Arial"/>
        <w:snapToGrid w:val="0"/>
        <w:sz w:val="20"/>
        <w:szCs w:val="20"/>
      </w:rPr>
      <w:tab/>
    </w:r>
    <w:r w:rsidRPr="00C64F00">
      <w:rPr>
        <w:rStyle w:val="Numrodepage"/>
        <w:rFonts w:ascii="Arial" w:hAnsi="Arial" w:cs="Arial"/>
        <w:sz w:val="20"/>
        <w:szCs w:val="20"/>
      </w:rPr>
      <w:fldChar w:fldCharType="begin"/>
    </w:r>
    <w:r w:rsidRPr="00C64F0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64F00">
      <w:rPr>
        <w:rStyle w:val="Numrodepage"/>
        <w:rFonts w:ascii="Arial" w:hAnsi="Arial" w:cs="Arial"/>
        <w:sz w:val="20"/>
        <w:szCs w:val="20"/>
      </w:rPr>
      <w:fldChar w:fldCharType="separate"/>
    </w:r>
    <w:r w:rsidR="00415F2C">
      <w:rPr>
        <w:rStyle w:val="Numrodepage"/>
        <w:rFonts w:ascii="Arial" w:hAnsi="Arial" w:cs="Arial"/>
        <w:noProof/>
        <w:sz w:val="20"/>
        <w:szCs w:val="20"/>
      </w:rPr>
      <w:t>3</w:t>
    </w:r>
    <w:r w:rsidRPr="00C64F00">
      <w:rPr>
        <w:rStyle w:val="Numrodepage"/>
        <w:rFonts w:ascii="Arial" w:hAnsi="Arial" w:cs="Arial"/>
        <w:sz w:val="20"/>
        <w:szCs w:val="20"/>
      </w:rPr>
      <w:fldChar w:fldCharType="end"/>
    </w:r>
    <w:r w:rsidRPr="00C64F00">
      <w:rPr>
        <w:rStyle w:val="Numrodepage"/>
        <w:rFonts w:ascii="Arial" w:hAnsi="Arial" w:cs="Arial"/>
        <w:sz w:val="20"/>
        <w:szCs w:val="20"/>
      </w:rPr>
      <w:t>/</w:t>
    </w:r>
    <w:r w:rsidRPr="00C64F00">
      <w:rPr>
        <w:rStyle w:val="Numrodepage"/>
        <w:rFonts w:ascii="Arial" w:hAnsi="Arial" w:cs="Arial"/>
        <w:sz w:val="20"/>
        <w:szCs w:val="20"/>
      </w:rPr>
      <w:fldChar w:fldCharType="begin"/>
    </w:r>
    <w:r w:rsidRPr="00C64F0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64F00">
      <w:rPr>
        <w:rStyle w:val="Numrodepage"/>
        <w:rFonts w:ascii="Arial" w:hAnsi="Arial" w:cs="Arial"/>
        <w:sz w:val="20"/>
        <w:szCs w:val="20"/>
      </w:rPr>
      <w:fldChar w:fldCharType="separate"/>
    </w:r>
    <w:r w:rsidR="00415F2C">
      <w:rPr>
        <w:rStyle w:val="Numrodepage"/>
        <w:rFonts w:ascii="Arial" w:hAnsi="Arial" w:cs="Arial"/>
        <w:noProof/>
        <w:sz w:val="20"/>
        <w:szCs w:val="20"/>
      </w:rPr>
      <w:t>3</w:t>
    </w:r>
    <w:r w:rsidRPr="00C64F00">
      <w:rPr>
        <w:rStyle w:val="Numrodepage"/>
        <w:rFonts w:ascii="Arial" w:hAnsi="Arial" w:cs="Arial"/>
        <w:sz w:val="20"/>
        <w:szCs w:val="20"/>
      </w:rPr>
      <w:fldChar w:fldCharType="end"/>
    </w:r>
  </w:p>
  <w:p w:rsidR="002F1651" w:rsidRPr="00C64F00" w:rsidRDefault="002F1651" w:rsidP="009E2730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4C" w:rsidRDefault="00E10E4C">
      <w:r>
        <w:separator/>
      </w:r>
    </w:p>
  </w:footnote>
  <w:footnote w:type="continuationSeparator" w:id="0">
    <w:p w:rsidR="00E10E4C" w:rsidRDefault="00E1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884"/>
    <w:multiLevelType w:val="hybridMultilevel"/>
    <w:tmpl w:val="FFE21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19D5"/>
    <w:multiLevelType w:val="hybridMultilevel"/>
    <w:tmpl w:val="CE4014A2"/>
    <w:lvl w:ilvl="0" w:tplc="3E56EF9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7574"/>
    <w:multiLevelType w:val="hybridMultilevel"/>
    <w:tmpl w:val="9B8E1164"/>
    <w:lvl w:ilvl="0" w:tplc="1A9C27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3790"/>
    <w:multiLevelType w:val="hybridMultilevel"/>
    <w:tmpl w:val="C610F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B41D8"/>
    <w:multiLevelType w:val="hybridMultilevel"/>
    <w:tmpl w:val="DEFE49BC"/>
    <w:lvl w:ilvl="0" w:tplc="3D0C3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629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EA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8E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42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E9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22C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E9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64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23532"/>
    <w:multiLevelType w:val="hybridMultilevel"/>
    <w:tmpl w:val="E9F4E7F0"/>
    <w:lvl w:ilvl="0" w:tplc="E2FEEB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E6002"/>
    <w:multiLevelType w:val="hybridMultilevel"/>
    <w:tmpl w:val="BA5A9408"/>
    <w:lvl w:ilvl="0" w:tplc="8D300DC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96E4F"/>
    <w:multiLevelType w:val="hybridMultilevel"/>
    <w:tmpl w:val="E55E09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9B7"/>
    <w:multiLevelType w:val="hybridMultilevel"/>
    <w:tmpl w:val="282A4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E30CE"/>
    <w:multiLevelType w:val="hybridMultilevel"/>
    <w:tmpl w:val="E5D81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87B5E"/>
    <w:multiLevelType w:val="multilevel"/>
    <w:tmpl w:val="77BCC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>
    <w:nsid w:val="1D1F735C"/>
    <w:multiLevelType w:val="hybridMultilevel"/>
    <w:tmpl w:val="BE0C6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5263C"/>
    <w:multiLevelType w:val="multilevel"/>
    <w:tmpl w:val="F2182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3C8F010D"/>
    <w:multiLevelType w:val="multilevel"/>
    <w:tmpl w:val="1134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31838DA"/>
    <w:multiLevelType w:val="hybridMultilevel"/>
    <w:tmpl w:val="975AFE5E"/>
    <w:lvl w:ilvl="0" w:tplc="ABC093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4911"/>
    <w:multiLevelType w:val="hybridMultilevel"/>
    <w:tmpl w:val="049C5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F341C"/>
    <w:multiLevelType w:val="hybridMultilevel"/>
    <w:tmpl w:val="9AF0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13D87"/>
    <w:multiLevelType w:val="hybridMultilevel"/>
    <w:tmpl w:val="CE86685C"/>
    <w:lvl w:ilvl="0" w:tplc="5876FC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D6885"/>
    <w:multiLevelType w:val="hybridMultilevel"/>
    <w:tmpl w:val="06089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08C1"/>
    <w:multiLevelType w:val="hybridMultilevel"/>
    <w:tmpl w:val="F2A0A7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608F3"/>
    <w:multiLevelType w:val="hybridMultilevel"/>
    <w:tmpl w:val="E19A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93259"/>
    <w:multiLevelType w:val="hybridMultilevel"/>
    <w:tmpl w:val="2C42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779F5"/>
    <w:multiLevelType w:val="hybridMultilevel"/>
    <w:tmpl w:val="1EB0B610"/>
    <w:lvl w:ilvl="0" w:tplc="CF8A92EE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421CE"/>
    <w:multiLevelType w:val="hybridMultilevel"/>
    <w:tmpl w:val="90B2A494"/>
    <w:lvl w:ilvl="0" w:tplc="376A5E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B60C5"/>
    <w:multiLevelType w:val="multilevel"/>
    <w:tmpl w:val="5AB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A401DA"/>
    <w:multiLevelType w:val="hybridMultilevel"/>
    <w:tmpl w:val="DD2ED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5597B"/>
    <w:multiLevelType w:val="hybridMultilevel"/>
    <w:tmpl w:val="2806F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C5B5E"/>
    <w:multiLevelType w:val="hybridMultilevel"/>
    <w:tmpl w:val="82D6C5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95BF9"/>
    <w:multiLevelType w:val="hybridMultilevel"/>
    <w:tmpl w:val="E82A46AE"/>
    <w:lvl w:ilvl="0" w:tplc="A4E200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54BEA"/>
    <w:multiLevelType w:val="hybridMultilevel"/>
    <w:tmpl w:val="D8BAD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27"/>
  </w:num>
  <w:num w:numId="7">
    <w:abstractNumId w:val="17"/>
  </w:num>
  <w:num w:numId="8">
    <w:abstractNumId w:val="23"/>
  </w:num>
  <w:num w:numId="9">
    <w:abstractNumId w:val="19"/>
  </w:num>
  <w:num w:numId="10">
    <w:abstractNumId w:val="26"/>
  </w:num>
  <w:num w:numId="11">
    <w:abstractNumId w:val="13"/>
  </w:num>
  <w:num w:numId="12">
    <w:abstractNumId w:val="12"/>
  </w:num>
  <w:num w:numId="13">
    <w:abstractNumId w:val="7"/>
  </w:num>
  <w:num w:numId="14">
    <w:abstractNumId w:val="28"/>
  </w:num>
  <w:num w:numId="15">
    <w:abstractNumId w:val="5"/>
  </w:num>
  <w:num w:numId="16">
    <w:abstractNumId w:val="2"/>
  </w:num>
  <w:num w:numId="17">
    <w:abstractNumId w:val="22"/>
  </w:num>
  <w:num w:numId="18">
    <w:abstractNumId w:val="29"/>
  </w:num>
  <w:num w:numId="19">
    <w:abstractNumId w:val="8"/>
  </w:num>
  <w:num w:numId="20">
    <w:abstractNumId w:val="0"/>
  </w:num>
  <w:num w:numId="21">
    <w:abstractNumId w:val="21"/>
  </w:num>
  <w:num w:numId="22">
    <w:abstractNumId w:val="18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20"/>
  </w:num>
  <w:num w:numId="28">
    <w:abstractNumId w:val="25"/>
  </w:num>
  <w:num w:numId="29">
    <w:abstractNumId w:val="24"/>
  </w:num>
  <w:num w:numId="3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D5"/>
    <w:rsid w:val="00012E17"/>
    <w:rsid w:val="000136E0"/>
    <w:rsid w:val="000150C4"/>
    <w:rsid w:val="00015701"/>
    <w:rsid w:val="000221D1"/>
    <w:rsid w:val="000261F5"/>
    <w:rsid w:val="000279C7"/>
    <w:rsid w:val="00040817"/>
    <w:rsid w:val="000444EB"/>
    <w:rsid w:val="00045D41"/>
    <w:rsid w:val="00064312"/>
    <w:rsid w:val="00064F9E"/>
    <w:rsid w:val="00067CB1"/>
    <w:rsid w:val="000707F2"/>
    <w:rsid w:val="00087439"/>
    <w:rsid w:val="000945D3"/>
    <w:rsid w:val="000946FE"/>
    <w:rsid w:val="00096596"/>
    <w:rsid w:val="000A3F93"/>
    <w:rsid w:val="000A6F1A"/>
    <w:rsid w:val="000A7D1D"/>
    <w:rsid w:val="000B146E"/>
    <w:rsid w:val="000B4BEB"/>
    <w:rsid w:val="000C3F0A"/>
    <w:rsid w:val="000C673C"/>
    <w:rsid w:val="000C7E58"/>
    <w:rsid w:val="000D0CAE"/>
    <w:rsid w:val="000D1137"/>
    <w:rsid w:val="000D2C4B"/>
    <w:rsid w:val="000D34EF"/>
    <w:rsid w:val="000E009D"/>
    <w:rsid w:val="000E42D2"/>
    <w:rsid w:val="000F1850"/>
    <w:rsid w:val="000F20FD"/>
    <w:rsid w:val="000F6D19"/>
    <w:rsid w:val="001002F2"/>
    <w:rsid w:val="00101BD4"/>
    <w:rsid w:val="00102F49"/>
    <w:rsid w:val="001107B2"/>
    <w:rsid w:val="0011201E"/>
    <w:rsid w:val="00112A9F"/>
    <w:rsid w:val="0011595B"/>
    <w:rsid w:val="00120B95"/>
    <w:rsid w:val="00125F97"/>
    <w:rsid w:val="001348A5"/>
    <w:rsid w:val="00136320"/>
    <w:rsid w:val="00141922"/>
    <w:rsid w:val="00142AB5"/>
    <w:rsid w:val="0015290D"/>
    <w:rsid w:val="00152F4C"/>
    <w:rsid w:val="00156128"/>
    <w:rsid w:val="00156F7F"/>
    <w:rsid w:val="00161693"/>
    <w:rsid w:val="00164C00"/>
    <w:rsid w:val="00173FBD"/>
    <w:rsid w:val="00180BC2"/>
    <w:rsid w:val="001865CF"/>
    <w:rsid w:val="00190A52"/>
    <w:rsid w:val="00193945"/>
    <w:rsid w:val="001B0F85"/>
    <w:rsid w:val="001B290C"/>
    <w:rsid w:val="001C1AD7"/>
    <w:rsid w:val="001C4DDD"/>
    <w:rsid w:val="001D57E1"/>
    <w:rsid w:val="001E0358"/>
    <w:rsid w:val="001E06A5"/>
    <w:rsid w:val="001E2366"/>
    <w:rsid w:val="001E2FAA"/>
    <w:rsid w:val="001E2FED"/>
    <w:rsid w:val="001E5100"/>
    <w:rsid w:val="001E62E1"/>
    <w:rsid w:val="001F1E33"/>
    <w:rsid w:val="001F28FE"/>
    <w:rsid w:val="001F3115"/>
    <w:rsid w:val="001F428D"/>
    <w:rsid w:val="001F7F85"/>
    <w:rsid w:val="00203368"/>
    <w:rsid w:val="00204F33"/>
    <w:rsid w:val="00207256"/>
    <w:rsid w:val="00207B40"/>
    <w:rsid w:val="00210450"/>
    <w:rsid w:val="002112F2"/>
    <w:rsid w:val="00211C1D"/>
    <w:rsid w:val="00212770"/>
    <w:rsid w:val="002166FF"/>
    <w:rsid w:val="00217BB5"/>
    <w:rsid w:val="00225DB1"/>
    <w:rsid w:val="0022685C"/>
    <w:rsid w:val="00243286"/>
    <w:rsid w:val="00244506"/>
    <w:rsid w:val="00256C20"/>
    <w:rsid w:val="00261014"/>
    <w:rsid w:val="0026524A"/>
    <w:rsid w:val="002670F0"/>
    <w:rsid w:val="00270CBD"/>
    <w:rsid w:val="002748C9"/>
    <w:rsid w:val="002748FD"/>
    <w:rsid w:val="00283F07"/>
    <w:rsid w:val="002A5664"/>
    <w:rsid w:val="002A5913"/>
    <w:rsid w:val="002B1502"/>
    <w:rsid w:val="002B2456"/>
    <w:rsid w:val="002B4BA6"/>
    <w:rsid w:val="002C0975"/>
    <w:rsid w:val="002C387B"/>
    <w:rsid w:val="002C500C"/>
    <w:rsid w:val="002E317D"/>
    <w:rsid w:val="002F0B74"/>
    <w:rsid w:val="002F1651"/>
    <w:rsid w:val="002F2855"/>
    <w:rsid w:val="002F3631"/>
    <w:rsid w:val="002F5D8B"/>
    <w:rsid w:val="002F6AA0"/>
    <w:rsid w:val="00301168"/>
    <w:rsid w:val="00306CD6"/>
    <w:rsid w:val="00311403"/>
    <w:rsid w:val="0031455D"/>
    <w:rsid w:val="00316615"/>
    <w:rsid w:val="00320449"/>
    <w:rsid w:val="00320D96"/>
    <w:rsid w:val="00323FFF"/>
    <w:rsid w:val="00324513"/>
    <w:rsid w:val="00326821"/>
    <w:rsid w:val="00330985"/>
    <w:rsid w:val="003416D9"/>
    <w:rsid w:val="00344CF1"/>
    <w:rsid w:val="00346101"/>
    <w:rsid w:val="00350711"/>
    <w:rsid w:val="003577A4"/>
    <w:rsid w:val="00362873"/>
    <w:rsid w:val="00365226"/>
    <w:rsid w:val="00367531"/>
    <w:rsid w:val="00372C84"/>
    <w:rsid w:val="003820B2"/>
    <w:rsid w:val="00383F1D"/>
    <w:rsid w:val="003A2665"/>
    <w:rsid w:val="003C0A68"/>
    <w:rsid w:val="003C5D2E"/>
    <w:rsid w:val="003D2950"/>
    <w:rsid w:val="003D3821"/>
    <w:rsid w:val="003D6267"/>
    <w:rsid w:val="003E2EE0"/>
    <w:rsid w:val="003E65CD"/>
    <w:rsid w:val="003E6F0C"/>
    <w:rsid w:val="003E75BE"/>
    <w:rsid w:val="003F6082"/>
    <w:rsid w:val="0040113D"/>
    <w:rsid w:val="00406F3D"/>
    <w:rsid w:val="00410B43"/>
    <w:rsid w:val="00411268"/>
    <w:rsid w:val="004125E2"/>
    <w:rsid w:val="00415F2C"/>
    <w:rsid w:val="00416A00"/>
    <w:rsid w:val="00421FD4"/>
    <w:rsid w:val="00425355"/>
    <w:rsid w:val="00433013"/>
    <w:rsid w:val="00435C64"/>
    <w:rsid w:val="0043792B"/>
    <w:rsid w:val="00442792"/>
    <w:rsid w:val="004450B4"/>
    <w:rsid w:val="0044610D"/>
    <w:rsid w:val="00446E09"/>
    <w:rsid w:val="004508CF"/>
    <w:rsid w:val="00453E34"/>
    <w:rsid w:val="0045647C"/>
    <w:rsid w:val="00474297"/>
    <w:rsid w:val="0048176B"/>
    <w:rsid w:val="00482DB4"/>
    <w:rsid w:val="004952CD"/>
    <w:rsid w:val="00495522"/>
    <w:rsid w:val="004A3593"/>
    <w:rsid w:val="004A6911"/>
    <w:rsid w:val="004B3074"/>
    <w:rsid w:val="004B5E34"/>
    <w:rsid w:val="004B7082"/>
    <w:rsid w:val="004C2D92"/>
    <w:rsid w:val="004C3CA2"/>
    <w:rsid w:val="004C4614"/>
    <w:rsid w:val="004C5AE5"/>
    <w:rsid w:val="004C6C6B"/>
    <w:rsid w:val="004D2D4A"/>
    <w:rsid w:val="004D6257"/>
    <w:rsid w:val="004D679D"/>
    <w:rsid w:val="004E0ED6"/>
    <w:rsid w:val="004E3B0F"/>
    <w:rsid w:val="004E46A2"/>
    <w:rsid w:val="004E552B"/>
    <w:rsid w:val="004E583D"/>
    <w:rsid w:val="004F0765"/>
    <w:rsid w:val="004F37B4"/>
    <w:rsid w:val="00500610"/>
    <w:rsid w:val="00503FEE"/>
    <w:rsid w:val="00513DAE"/>
    <w:rsid w:val="005224B6"/>
    <w:rsid w:val="00524686"/>
    <w:rsid w:val="0053164A"/>
    <w:rsid w:val="0053256D"/>
    <w:rsid w:val="00534A30"/>
    <w:rsid w:val="00534F65"/>
    <w:rsid w:val="00552931"/>
    <w:rsid w:val="005624CC"/>
    <w:rsid w:val="00566485"/>
    <w:rsid w:val="00573BF0"/>
    <w:rsid w:val="005745AE"/>
    <w:rsid w:val="005825BF"/>
    <w:rsid w:val="005866F9"/>
    <w:rsid w:val="00590BDA"/>
    <w:rsid w:val="0059597B"/>
    <w:rsid w:val="00596A51"/>
    <w:rsid w:val="00597212"/>
    <w:rsid w:val="005A530F"/>
    <w:rsid w:val="005A7C01"/>
    <w:rsid w:val="005A7CEB"/>
    <w:rsid w:val="005B5F25"/>
    <w:rsid w:val="005B6B5F"/>
    <w:rsid w:val="005C6C1D"/>
    <w:rsid w:val="005D49BF"/>
    <w:rsid w:val="005F152E"/>
    <w:rsid w:val="005F78FB"/>
    <w:rsid w:val="00602179"/>
    <w:rsid w:val="00612270"/>
    <w:rsid w:val="0061650E"/>
    <w:rsid w:val="00616A3D"/>
    <w:rsid w:val="00616EC2"/>
    <w:rsid w:val="00617116"/>
    <w:rsid w:val="00617711"/>
    <w:rsid w:val="00630E46"/>
    <w:rsid w:val="006314FA"/>
    <w:rsid w:val="006327BC"/>
    <w:rsid w:val="006345DF"/>
    <w:rsid w:val="00640FB1"/>
    <w:rsid w:val="00657886"/>
    <w:rsid w:val="006622DD"/>
    <w:rsid w:val="006651D0"/>
    <w:rsid w:val="00665E2F"/>
    <w:rsid w:val="00667F7F"/>
    <w:rsid w:val="006733FA"/>
    <w:rsid w:val="0067494B"/>
    <w:rsid w:val="00676A5A"/>
    <w:rsid w:val="00680476"/>
    <w:rsid w:val="00685F84"/>
    <w:rsid w:val="006915ED"/>
    <w:rsid w:val="00695192"/>
    <w:rsid w:val="00695FD5"/>
    <w:rsid w:val="006A2F83"/>
    <w:rsid w:val="006A508C"/>
    <w:rsid w:val="006A66CB"/>
    <w:rsid w:val="006B3763"/>
    <w:rsid w:val="006B7D4E"/>
    <w:rsid w:val="006C6E55"/>
    <w:rsid w:val="006C6FCC"/>
    <w:rsid w:val="006D5757"/>
    <w:rsid w:val="006D68BC"/>
    <w:rsid w:val="006D7F59"/>
    <w:rsid w:val="006E0082"/>
    <w:rsid w:val="006E12F2"/>
    <w:rsid w:val="006E1435"/>
    <w:rsid w:val="006F0563"/>
    <w:rsid w:val="006F3AF8"/>
    <w:rsid w:val="00700E20"/>
    <w:rsid w:val="007066F5"/>
    <w:rsid w:val="007070C6"/>
    <w:rsid w:val="0070721A"/>
    <w:rsid w:val="007077CB"/>
    <w:rsid w:val="007107AA"/>
    <w:rsid w:val="007113B6"/>
    <w:rsid w:val="00715936"/>
    <w:rsid w:val="00723321"/>
    <w:rsid w:val="00727E0A"/>
    <w:rsid w:val="00732768"/>
    <w:rsid w:val="007375BB"/>
    <w:rsid w:val="00753269"/>
    <w:rsid w:val="007642C2"/>
    <w:rsid w:val="007661B4"/>
    <w:rsid w:val="00787C24"/>
    <w:rsid w:val="00796065"/>
    <w:rsid w:val="00796C8D"/>
    <w:rsid w:val="007A2E23"/>
    <w:rsid w:val="007A44DD"/>
    <w:rsid w:val="007A5997"/>
    <w:rsid w:val="007B04A0"/>
    <w:rsid w:val="007C25F6"/>
    <w:rsid w:val="007C5666"/>
    <w:rsid w:val="007C5CBA"/>
    <w:rsid w:val="007D2FFD"/>
    <w:rsid w:val="007D3446"/>
    <w:rsid w:val="007D42A6"/>
    <w:rsid w:val="007E50C4"/>
    <w:rsid w:val="007E6080"/>
    <w:rsid w:val="007E62E7"/>
    <w:rsid w:val="00800D4E"/>
    <w:rsid w:val="008018D9"/>
    <w:rsid w:val="00803C0C"/>
    <w:rsid w:val="0080621B"/>
    <w:rsid w:val="0081462F"/>
    <w:rsid w:val="008164DD"/>
    <w:rsid w:val="008165F1"/>
    <w:rsid w:val="0082211E"/>
    <w:rsid w:val="00831760"/>
    <w:rsid w:val="008343F3"/>
    <w:rsid w:val="00835881"/>
    <w:rsid w:val="0084706E"/>
    <w:rsid w:val="00854E07"/>
    <w:rsid w:val="00857FE5"/>
    <w:rsid w:val="00860C80"/>
    <w:rsid w:val="00866A84"/>
    <w:rsid w:val="00874726"/>
    <w:rsid w:val="00876C02"/>
    <w:rsid w:val="008772F0"/>
    <w:rsid w:val="0087746C"/>
    <w:rsid w:val="00877CCF"/>
    <w:rsid w:val="00881126"/>
    <w:rsid w:val="008844F2"/>
    <w:rsid w:val="00884594"/>
    <w:rsid w:val="00890F9D"/>
    <w:rsid w:val="008928CD"/>
    <w:rsid w:val="0089314F"/>
    <w:rsid w:val="00894966"/>
    <w:rsid w:val="00895BC5"/>
    <w:rsid w:val="008A1A96"/>
    <w:rsid w:val="008A210D"/>
    <w:rsid w:val="008A69E3"/>
    <w:rsid w:val="008B0A40"/>
    <w:rsid w:val="008B2CAB"/>
    <w:rsid w:val="008C1271"/>
    <w:rsid w:val="008C1D8A"/>
    <w:rsid w:val="008C4072"/>
    <w:rsid w:val="008C7FD5"/>
    <w:rsid w:val="008D34BE"/>
    <w:rsid w:val="008E08A5"/>
    <w:rsid w:val="008E7324"/>
    <w:rsid w:val="008E78A6"/>
    <w:rsid w:val="008F0F20"/>
    <w:rsid w:val="008F57B5"/>
    <w:rsid w:val="009004E0"/>
    <w:rsid w:val="00901AED"/>
    <w:rsid w:val="00901BB0"/>
    <w:rsid w:val="00910783"/>
    <w:rsid w:val="009209D9"/>
    <w:rsid w:val="00934261"/>
    <w:rsid w:val="009421F4"/>
    <w:rsid w:val="00945299"/>
    <w:rsid w:val="00950F6A"/>
    <w:rsid w:val="00955D8A"/>
    <w:rsid w:val="009560A3"/>
    <w:rsid w:val="009567E0"/>
    <w:rsid w:val="00957537"/>
    <w:rsid w:val="00960693"/>
    <w:rsid w:val="009609F3"/>
    <w:rsid w:val="00962355"/>
    <w:rsid w:val="00964958"/>
    <w:rsid w:val="009651DD"/>
    <w:rsid w:val="009710A1"/>
    <w:rsid w:val="00976634"/>
    <w:rsid w:val="009816C9"/>
    <w:rsid w:val="00983E31"/>
    <w:rsid w:val="009840E9"/>
    <w:rsid w:val="009844AC"/>
    <w:rsid w:val="0098520E"/>
    <w:rsid w:val="00985BB3"/>
    <w:rsid w:val="00990FB0"/>
    <w:rsid w:val="009934D5"/>
    <w:rsid w:val="0099505B"/>
    <w:rsid w:val="009A26F1"/>
    <w:rsid w:val="009A369C"/>
    <w:rsid w:val="009B2545"/>
    <w:rsid w:val="009C3478"/>
    <w:rsid w:val="009C4956"/>
    <w:rsid w:val="009C5169"/>
    <w:rsid w:val="009D1456"/>
    <w:rsid w:val="009D2486"/>
    <w:rsid w:val="009D6C03"/>
    <w:rsid w:val="009E2730"/>
    <w:rsid w:val="009F07C4"/>
    <w:rsid w:val="00A02A75"/>
    <w:rsid w:val="00A06EDF"/>
    <w:rsid w:val="00A07F7C"/>
    <w:rsid w:val="00A10F97"/>
    <w:rsid w:val="00A13B4C"/>
    <w:rsid w:val="00A16A5D"/>
    <w:rsid w:val="00A224BA"/>
    <w:rsid w:val="00A245C5"/>
    <w:rsid w:val="00A249A6"/>
    <w:rsid w:val="00A24EB5"/>
    <w:rsid w:val="00A26137"/>
    <w:rsid w:val="00A27CA9"/>
    <w:rsid w:val="00A31DEF"/>
    <w:rsid w:val="00A32400"/>
    <w:rsid w:val="00A44BA8"/>
    <w:rsid w:val="00A44CD7"/>
    <w:rsid w:val="00A47895"/>
    <w:rsid w:val="00A62E89"/>
    <w:rsid w:val="00A648CE"/>
    <w:rsid w:val="00A66452"/>
    <w:rsid w:val="00A66606"/>
    <w:rsid w:val="00A66969"/>
    <w:rsid w:val="00A66DD7"/>
    <w:rsid w:val="00A70428"/>
    <w:rsid w:val="00A71561"/>
    <w:rsid w:val="00A71C28"/>
    <w:rsid w:val="00A7796A"/>
    <w:rsid w:val="00A90EA5"/>
    <w:rsid w:val="00A91CD8"/>
    <w:rsid w:val="00A91F30"/>
    <w:rsid w:val="00A961DD"/>
    <w:rsid w:val="00A97BB9"/>
    <w:rsid w:val="00AA4D3C"/>
    <w:rsid w:val="00AB4015"/>
    <w:rsid w:val="00AB41A9"/>
    <w:rsid w:val="00AB442F"/>
    <w:rsid w:val="00AC27F1"/>
    <w:rsid w:val="00AC5EA2"/>
    <w:rsid w:val="00AC6737"/>
    <w:rsid w:val="00AD6070"/>
    <w:rsid w:val="00AE56CB"/>
    <w:rsid w:val="00AE5A20"/>
    <w:rsid w:val="00AF1016"/>
    <w:rsid w:val="00AF36FB"/>
    <w:rsid w:val="00B00BFA"/>
    <w:rsid w:val="00B00E2E"/>
    <w:rsid w:val="00B0149C"/>
    <w:rsid w:val="00B024DE"/>
    <w:rsid w:val="00B059D5"/>
    <w:rsid w:val="00B113BE"/>
    <w:rsid w:val="00B14256"/>
    <w:rsid w:val="00B17CBF"/>
    <w:rsid w:val="00B259AF"/>
    <w:rsid w:val="00B30CB8"/>
    <w:rsid w:val="00B318C3"/>
    <w:rsid w:val="00B330AC"/>
    <w:rsid w:val="00B37864"/>
    <w:rsid w:val="00B41179"/>
    <w:rsid w:val="00B4206A"/>
    <w:rsid w:val="00B50332"/>
    <w:rsid w:val="00B50B50"/>
    <w:rsid w:val="00B5399C"/>
    <w:rsid w:val="00B644B4"/>
    <w:rsid w:val="00B77C60"/>
    <w:rsid w:val="00B8583E"/>
    <w:rsid w:val="00B85F31"/>
    <w:rsid w:val="00B878E2"/>
    <w:rsid w:val="00BA2581"/>
    <w:rsid w:val="00BA2996"/>
    <w:rsid w:val="00BA4E1D"/>
    <w:rsid w:val="00BB04BE"/>
    <w:rsid w:val="00BB2F8A"/>
    <w:rsid w:val="00BB4358"/>
    <w:rsid w:val="00BB6A3F"/>
    <w:rsid w:val="00BC1BAA"/>
    <w:rsid w:val="00BC343F"/>
    <w:rsid w:val="00BC3480"/>
    <w:rsid w:val="00BC5EE6"/>
    <w:rsid w:val="00BD52F3"/>
    <w:rsid w:val="00BD6FC8"/>
    <w:rsid w:val="00BE5F4A"/>
    <w:rsid w:val="00BF0616"/>
    <w:rsid w:val="00BF0D72"/>
    <w:rsid w:val="00BF2DD5"/>
    <w:rsid w:val="00BF4B84"/>
    <w:rsid w:val="00BF4C12"/>
    <w:rsid w:val="00BF6A1B"/>
    <w:rsid w:val="00C148CA"/>
    <w:rsid w:val="00C1668A"/>
    <w:rsid w:val="00C20F24"/>
    <w:rsid w:val="00C260A7"/>
    <w:rsid w:val="00C30577"/>
    <w:rsid w:val="00C4375E"/>
    <w:rsid w:val="00C4691E"/>
    <w:rsid w:val="00C477B9"/>
    <w:rsid w:val="00C50686"/>
    <w:rsid w:val="00C545A9"/>
    <w:rsid w:val="00C5573B"/>
    <w:rsid w:val="00C563B8"/>
    <w:rsid w:val="00C61024"/>
    <w:rsid w:val="00C63017"/>
    <w:rsid w:val="00C64F00"/>
    <w:rsid w:val="00C655F1"/>
    <w:rsid w:val="00C660F5"/>
    <w:rsid w:val="00C71075"/>
    <w:rsid w:val="00C726A4"/>
    <w:rsid w:val="00C7499F"/>
    <w:rsid w:val="00C8226F"/>
    <w:rsid w:val="00C946AA"/>
    <w:rsid w:val="00C95182"/>
    <w:rsid w:val="00C95AA1"/>
    <w:rsid w:val="00C9721A"/>
    <w:rsid w:val="00CA02DB"/>
    <w:rsid w:val="00CA2492"/>
    <w:rsid w:val="00CB1074"/>
    <w:rsid w:val="00CB45A5"/>
    <w:rsid w:val="00CB61A8"/>
    <w:rsid w:val="00CC2B04"/>
    <w:rsid w:val="00CC2E53"/>
    <w:rsid w:val="00CC309C"/>
    <w:rsid w:val="00CC7D4E"/>
    <w:rsid w:val="00CD138E"/>
    <w:rsid w:val="00CD3765"/>
    <w:rsid w:val="00CD3A19"/>
    <w:rsid w:val="00CD3BD7"/>
    <w:rsid w:val="00CD53F1"/>
    <w:rsid w:val="00CE0CEC"/>
    <w:rsid w:val="00CE20B8"/>
    <w:rsid w:val="00CE3515"/>
    <w:rsid w:val="00CE541E"/>
    <w:rsid w:val="00CE59C8"/>
    <w:rsid w:val="00CF08D4"/>
    <w:rsid w:val="00CF1737"/>
    <w:rsid w:val="00CF43B3"/>
    <w:rsid w:val="00D00F34"/>
    <w:rsid w:val="00D01A9B"/>
    <w:rsid w:val="00D05F98"/>
    <w:rsid w:val="00D206EA"/>
    <w:rsid w:val="00D212ED"/>
    <w:rsid w:val="00D25A05"/>
    <w:rsid w:val="00D32075"/>
    <w:rsid w:val="00D34EE2"/>
    <w:rsid w:val="00D4343F"/>
    <w:rsid w:val="00D50AFA"/>
    <w:rsid w:val="00D514E0"/>
    <w:rsid w:val="00D57AAB"/>
    <w:rsid w:val="00D6488C"/>
    <w:rsid w:val="00D7155C"/>
    <w:rsid w:val="00D74077"/>
    <w:rsid w:val="00D749E2"/>
    <w:rsid w:val="00D8058E"/>
    <w:rsid w:val="00D83566"/>
    <w:rsid w:val="00D838EE"/>
    <w:rsid w:val="00D84D89"/>
    <w:rsid w:val="00D85392"/>
    <w:rsid w:val="00D927ED"/>
    <w:rsid w:val="00DA063E"/>
    <w:rsid w:val="00DB162A"/>
    <w:rsid w:val="00DC0F41"/>
    <w:rsid w:val="00DC1868"/>
    <w:rsid w:val="00DC5130"/>
    <w:rsid w:val="00DD3317"/>
    <w:rsid w:val="00DD4871"/>
    <w:rsid w:val="00DD6C3F"/>
    <w:rsid w:val="00DF381F"/>
    <w:rsid w:val="00DF467C"/>
    <w:rsid w:val="00DF5028"/>
    <w:rsid w:val="00DF5B77"/>
    <w:rsid w:val="00DF5CA4"/>
    <w:rsid w:val="00E01A77"/>
    <w:rsid w:val="00E01C84"/>
    <w:rsid w:val="00E10E4C"/>
    <w:rsid w:val="00E137F3"/>
    <w:rsid w:val="00E15940"/>
    <w:rsid w:val="00E15D72"/>
    <w:rsid w:val="00E163F2"/>
    <w:rsid w:val="00E17147"/>
    <w:rsid w:val="00E32967"/>
    <w:rsid w:val="00E45209"/>
    <w:rsid w:val="00E5022A"/>
    <w:rsid w:val="00E53CD3"/>
    <w:rsid w:val="00E54C85"/>
    <w:rsid w:val="00E705F2"/>
    <w:rsid w:val="00E96B50"/>
    <w:rsid w:val="00EA4ABF"/>
    <w:rsid w:val="00EA62FB"/>
    <w:rsid w:val="00EB2EAF"/>
    <w:rsid w:val="00EB3400"/>
    <w:rsid w:val="00EB65A8"/>
    <w:rsid w:val="00EB76BD"/>
    <w:rsid w:val="00EC0521"/>
    <w:rsid w:val="00EC1D6F"/>
    <w:rsid w:val="00EC1FCD"/>
    <w:rsid w:val="00EC3D53"/>
    <w:rsid w:val="00ED0556"/>
    <w:rsid w:val="00ED74BC"/>
    <w:rsid w:val="00EE3788"/>
    <w:rsid w:val="00EE76F9"/>
    <w:rsid w:val="00EF13E7"/>
    <w:rsid w:val="00EF4285"/>
    <w:rsid w:val="00F01704"/>
    <w:rsid w:val="00F01822"/>
    <w:rsid w:val="00F0662C"/>
    <w:rsid w:val="00F1054A"/>
    <w:rsid w:val="00F12244"/>
    <w:rsid w:val="00F15048"/>
    <w:rsid w:val="00F208EF"/>
    <w:rsid w:val="00F30376"/>
    <w:rsid w:val="00F32860"/>
    <w:rsid w:val="00F33B3D"/>
    <w:rsid w:val="00F34CCC"/>
    <w:rsid w:val="00F40189"/>
    <w:rsid w:val="00F455AF"/>
    <w:rsid w:val="00F470CE"/>
    <w:rsid w:val="00F51463"/>
    <w:rsid w:val="00F51B1A"/>
    <w:rsid w:val="00F52363"/>
    <w:rsid w:val="00F5486D"/>
    <w:rsid w:val="00F61DD9"/>
    <w:rsid w:val="00F70F5F"/>
    <w:rsid w:val="00F717D4"/>
    <w:rsid w:val="00F80392"/>
    <w:rsid w:val="00F80E67"/>
    <w:rsid w:val="00F83B89"/>
    <w:rsid w:val="00F85A8C"/>
    <w:rsid w:val="00F91764"/>
    <w:rsid w:val="00F95115"/>
    <w:rsid w:val="00FA04B5"/>
    <w:rsid w:val="00FA4542"/>
    <w:rsid w:val="00FA4BB3"/>
    <w:rsid w:val="00FA6477"/>
    <w:rsid w:val="00FA68E2"/>
    <w:rsid w:val="00FB51EB"/>
    <w:rsid w:val="00FC0E73"/>
    <w:rsid w:val="00FC4BCE"/>
    <w:rsid w:val="00FD5737"/>
    <w:rsid w:val="00FD5CA4"/>
    <w:rsid w:val="00FD76B2"/>
    <w:rsid w:val="00FD7D70"/>
    <w:rsid w:val="00FE4E3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6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,E.e"/>
    <w:basedOn w:val="Normal"/>
    <w:rsid w:val="004817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17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176B"/>
  </w:style>
  <w:style w:type="paragraph" w:styleId="NormalWeb">
    <w:name w:val="Normal (Web)"/>
    <w:basedOn w:val="Normal"/>
    <w:uiPriority w:val="99"/>
    <w:rsid w:val="0043792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D835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7F7C"/>
    <w:pPr>
      <w:ind w:left="720"/>
      <w:contextualSpacing/>
    </w:pPr>
  </w:style>
  <w:style w:type="character" w:styleId="Lienhypertexte">
    <w:name w:val="Hyperlink"/>
    <w:basedOn w:val="Policepardfaut"/>
    <w:rsid w:val="00590BD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97212"/>
    <w:rPr>
      <w:sz w:val="16"/>
      <w:szCs w:val="16"/>
    </w:rPr>
  </w:style>
  <w:style w:type="paragraph" w:styleId="Commentaire">
    <w:name w:val="annotation text"/>
    <w:basedOn w:val="Normal"/>
    <w:link w:val="CommentaireCar"/>
    <w:rsid w:val="005972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7212"/>
  </w:style>
  <w:style w:type="paragraph" w:styleId="Objetducommentaire">
    <w:name w:val="annotation subject"/>
    <w:basedOn w:val="Commentaire"/>
    <w:next w:val="Commentaire"/>
    <w:link w:val="ObjetducommentaireCar"/>
    <w:rsid w:val="00597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97212"/>
    <w:rPr>
      <w:b/>
      <w:bCs/>
    </w:rPr>
  </w:style>
  <w:style w:type="character" w:styleId="lev">
    <w:name w:val="Strong"/>
    <w:basedOn w:val="Policepardfaut"/>
    <w:uiPriority w:val="22"/>
    <w:qFormat/>
    <w:rsid w:val="00064312"/>
    <w:rPr>
      <w:b/>
      <w:bCs/>
    </w:rPr>
  </w:style>
  <w:style w:type="table" w:styleId="Colonnesdetableau5">
    <w:name w:val="Table Columns 5"/>
    <w:basedOn w:val="TableauNormal"/>
    <w:rsid w:val="009D24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6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,E.e"/>
    <w:basedOn w:val="Normal"/>
    <w:rsid w:val="004817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17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176B"/>
  </w:style>
  <w:style w:type="paragraph" w:styleId="NormalWeb">
    <w:name w:val="Normal (Web)"/>
    <w:basedOn w:val="Normal"/>
    <w:uiPriority w:val="99"/>
    <w:rsid w:val="0043792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D835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7F7C"/>
    <w:pPr>
      <w:ind w:left="720"/>
      <w:contextualSpacing/>
    </w:pPr>
  </w:style>
  <w:style w:type="character" w:styleId="Lienhypertexte">
    <w:name w:val="Hyperlink"/>
    <w:basedOn w:val="Policepardfaut"/>
    <w:rsid w:val="00590BD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97212"/>
    <w:rPr>
      <w:sz w:val="16"/>
      <w:szCs w:val="16"/>
    </w:rPr>
  </w:style>
  <w:style w:type="paragraph" w:styleId="Commentaire">
    <w:name w:val="annotation text"/>
    <w:basedOn w:val="Normal"/>
    <w:link w:val="CommentaireCar"/>
    <w:rsid w:val="005972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7212"/>
  </w:style>
  <w:style w:type="paragraph" w:styleId="Objetducommentaire">
    <w:name w:val="annotation subject"/>
    <w:basedOn w:val="Commentaire"/>
    <w:next w:val="Commentaire"/>
    <w:link w:val="ObjetducommentaireCar"/>
    <w:rsid w:val="00597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97212"/>
    <w:rPr>
      <w:b/>
      <w:bCs/>
    </w:rPr>
  </w:style>
  <w:style w:type="character" w:styleId="lev">
    <w:name w:val="Strong"/>
    <w:basedOn w:val="Policepardfaut"/>
    <w:uiPriority w:val="22"/>
    <w:qFormat/>
    <w:rsid w:val="00064312"/>
    <w:rPr>
      <w:b/>
      <w:bCs/>
    </w:rPr>
  </w:style>
  <w:style w:type="table" w:styleId="Colonnesdetableau5">
    <w:name w:val="Table Columns 5"/>
    <w:basedOn w:val="TableauNormal"/>
    <w:rsid w:val="009D24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1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Olivia Pope</cp:lastModifiedBy>
  <cp:revision>4</cp:revision>
  <cp:lastPrinted>2019-01-22T07:41:00Z</cp:lastPrinted>
  <dcterms:created xsi:type="dcterms:W3CDTF">2021-01-27T14:48:00Z</dcterms:created>
  <dcterms:modified xsi:type="dcterms:W3CDTF">2021-02-08T12:24:00Z</dcterms:modified>
</cp:coreProperties>
</file>